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A70D" w14:textId="4CB68340" w:rsidR="001B439E" w:rsidRPr="008C128A" w:rsidRDefault="0098090F" w:rsidP="001B439E">
      <w:pPr>
        <w:rPr>
          <w:rFonts w:ascii="Verdana" w:hAnsi="Verdana" w:cs="Arial"/>
          <w:sz w:val="10"/>
          <w:szCs w:val="10"/>
        </w:rPr>
      </w:pPr>
      <w:r w:rsidRPr="001D55D9">
        <w:rPr>
          <w:rStyle w:val="Subtielebenadrukking"/>
          <w:iCs w:val="0"/>
          <w:noProof/>
        </w:rPr>
        <w:drawing>
          <wp:inline distT="0" distB="0" distL="0" distR="0" wp14:anchorId="59A6CE0D" wp14:editId="484959B4">
            <wp:extent cx="1045210" cy="101219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12190"/>
                    </a:xfrm>
                    <a:prstGeom prst="rect">
                      <a:avLst/>
                    </a:prstGeom>
                    <a:noFill/>
                    <a:ln>
                      <a:noFill/>
                    </a:ln>
                  </pic:spPr>
                </pic:pic>
              </a:graphicData>
            </a:graphic>
          </wp:inline>
        </w:drawing>
      </w:r>
      <w:r w:rsidRPr="00A0128A">
        <w:rPr>
          <w:rStyle w:val="Subtielebenadrukking"/>
        </w:rPr>
        <w:t xml:space="preserve">                                              </w:t>
      </w:r>
      <w:r w:rsidR="00A02FD7" w:rsidRPr="00A0128A">
        <w:rPr>
          <w:rStyle w:val="Subtielebenadrukking"/>
        </w:rPr>
        <w:t xml:space="preserve"> </w:t>
      </w:r>
      <w:r w:rsidR="00A02FD7">
        <w:rPr>
          <w:rStyle w:val="Subtielebenadrukking"/>
        </w:rPr>
        <w:t xml:space="preserve">   </w:t>
      </w:r>
    </w:p>
    <w:p w14:paraId="6F3BA721" w14:textId="245D5738" w:rsidR="0098090F" w:rsidRPr="00A0128A" w:rsidRDefault="0098090F" w:rsidP="00A02FD7">
      <w:pPr>
        <w:spacing w:line="240" w:lineRule="auto"/>
        <w:jc w:val="right"/>
        <w:rPr>
          <w:rStyle w:val="Subtielebenadrukking"/>
          <w:lang w:eastAsia="nl-NL"/>
        </w:rPr>
      </w:pPr>
      <w:r>
        <w:rPr>
          <w:rStyle w:val="Subtielebenadrukking"/>
        </w:rPr>
        <w:t xml:space="preserve">    </w:t>
      </w:r>
      <w:r w:rsidRPr="00A0128A">
        <w:rPr>
          <w:rStyle w:val="Subtielebenadrukking"/>
        </w:rPr>
        <w:t xml:space="preserve">ADVOCATENKANTOOR </w:t>
      </w:r>
    </w:p>
    <w:p w14:paraId="5E879818" w14:textId="180037D8" w:rsidR="0098090F" w:rsidRPr="00A0128A" w:rsidRDefault="008B66F8" w:rsidP="0098090F">
      <w:pPr>
        <w:ind w:left="-142" w:firstLine="709"/>
        <w:jc w:val="right"/>
        <w:rPr>
          <w:rStyle w:val="Subtielebenadrukking"/>
        </w:rPr>
      </w:pPr>
      <w:r>
        <w:rPr>
          <w:rStyle w:val="Subtielebenadrukking"/>
        </w:rPr>
        <w:t>VOCALEX</w:t>
      </w:r>
    </w:p>
    <w:p w14:paraId="12E2BB58" w14:textId="77777777" w:rsidR="0098090F" w:rsidRPr="00A0128A" w:rsidRDefault="0098090F" w:rsidP="0098090F">
      <w:pPr>
        <w:ind w:left="3545" w:firstLine="709"/>
        <w:jc w:val="right"/>
        <w:rPr>
          <w:rStyle w:val="Subtielebenadrukking"/>
        </w:rPr>
      </w:pPr>
      <w:r w:rsidRPr="00A0128A">
        <w:rPr>
          <w:rStyle w:val="Subtielebenadrukking"/>
        </w:rPr>
        <w:t>0476.68.52.12.</w:t>
      </w:r>
    </w:p>
    <w:p w14:paraId="77DD95BB" w14:textId="77777777" w:rsidR="00F74DB9" w:rsidRDefault="00F74DB9" w:rsidP="00F74DB9">
      <w:pPr>
        <w:pBdr>
          <w:bottom w:val="single" w:sz="6" w:space="1" w:color="auto"/>
        </w:pBdr>
        <w:ind w:left="3545" w:firstLine="709"/>
        <w:jc w:val="right"/>
        <w:rPr>
          <w:sz w:val="26"/>
          <w:szCs w:val="26"/>
          <w:lang w:eastAsia="nl-NL"/>
        </w:rPr>
      </w:pPr>
    </w:p>
    <w:p w14:paraId="0AC61B00" w14:textId="77777777" w:rsidR="00F74DB9" w:rsidRDefault="00F74DB9" w:rsidP="00F74DB9">
      <w:pPr>
        <w:pStyle w:val="ConclusieTitel"/>
        <w:rPr>
          <w:rFonts w:ascii="Verdana" w:hAnsi="Verdana"/>
          <w:sz w:val="22"/>
          <w:lang w:val="nl-BE"/>
        </w:rPr>
      </w:pPr>
    </w:p>
    <w:p w14:paraId="6D069069" w14:textId="77777777" w:rsidR="00F74DB9" w:rsidRDefault="00F74DB9" w:rsidP="00F74DB9">
      <w:pPr>
        <w:pStyle w:val="ConclusieTitel"/>
        <w:rPr>
          <w:rFonts w:ascii="Verdana" w:hAnsi="Verdana"/>
          <w:sz w:val="22"/>
          <w:lang w:val="nl-BE"/>
        </w:rPr>
      </w:pPr>
      <w:r>
        <w:rPr>
          <w:rFonts w:ascii="Verdana" w:hAnsi="Verdana"/>
          <w:sz w:val="22"/>
          <w:lang w:val="nl-BE"/>
        </w:rPr>
        <w:br/>
        <w:t>CONCLUSIE</w:t>
      </w:r>
    </w:p>
    <w:p w14:paraId="0C1D891A" w14:textId="77777777" w:rsidR="0098090F" w:rsidRDefault="0098090F" w:rsidP="00F74DB9">
      <w:pPr>
        <w:pStyle w:val="ConclusieTitel"/>
        <w:jc w:val="left"/>
        <w:rPr>
          <w:rFonts w:ascii="Verdana" w:hAnsi="Verdana"/>
          <w:sz w:val="22"/>
          <w:lang w:val="nl-BE"/>
        </w:rPr>
      </w:pPr>
    </w:p>
    <w:p w14:paraId="64216A82" w14:textId="77777777" w:rsidR="0098090F" w:rsidRDefault="0098090F" w:rsidP="0098090F">
      <w:pPr>
        <w:pStyle w:val="ConclusieTitel"/>
        <w:rPr>
          <w:rFonts w:ascii="Verdana" w:hAnsi="Verdana"/>
          <w:sz w:val="22"/>
          <w:lang w:val="nl-BE"/>
        </w:rPr>
      </w:pPr>
    </w:p>
    <w:p w14:paraId="70FFE2AD" w14:textId="77777777" w:rsidR="0098090F" w:rsidRPr="001D55D9" w:rsidRDefault="0098090F" w:rsidP="0098090F">
      <w:pPr>
        <w:pStyle w:val="Plattetekstinspringen"/>
        <w:ind w:left="0"/>
        <w:jc w:val="both"/>
        <w:rPr>
          <w:rFonts w:ascii="Calibri" w:hAnsi="Calibri" w:cs="Calibri"/>
          <w:sz w:val="24"/>
          <w:szCs w:val="24"/>
        </w:rPr>
      </w:pPr>
    </w:p>
    <w:p w14:paraId="23A804CE" w14:textId="0EB7CCB5" w:rsidR="0098090F" w:rsidRPr="005C7CC8" w:rsidRDefault="0098090F" w:rsidP="005C7CC8">
      <w:pPr>
        <w:ind w:left="1418" w:hanging="1418"/>
        <w:rPr>
          <w:rFonts w:asciiTheme="minorHAnsi" w:hAnsiTheme="minorHAnsi" w:cstheme="minorHAnsi"/>
          <w:lang w:val="nl-NL" w:bidi="nl-BE"/>
        </w:rPr>
      </w:pPr>
      <w:r w:rsidRPr="001D55D9">
        <w:rPr>
          <w:rFonts w:cs="Calibri"/>
          <w:b/>
          <w:u w:val="single"/>
        </w:rPr>
        <w:t>VOOR:</w:t>
      </w:r>
      <w:r w:rsidRPr="001D55D9">
        <w:rPr>
          <w:rFonts w:cs="Calibri"/>
        </w:rPr>
        <w:tab/>
      </w:r>
      <w:r w:rsidR="00F551D2">
        <w:rPr>
          <w:rFonts w:cs="Calibri"/>
          <w:b/>
          <w:bCs/>
        </w:rPr>
        <w:t xml:space="preserve">De heer/Mevrouw </w:t>
      </w:r>
      <w:r w:rsidR="00F551D2">
        <w:rPr>
          <w:rFonts w:cs="Calibri"/>
        </w:rPr>
        <w:t>…</w:t>
      </w:r>
      <w:r w:rsidR="00F551D2">
        <w:rPr>
          <w:rFonts w:asciiTheme="minorHAnsi" w:hAnsiTheme="minorHAnsi" w:cstheme="minorHAnsi"/>
          <w:lang w:val="nl-NL" w:bidi="nl-BE"/>
        </w:rPr>
        <w:t>, geboren op … te …, wonende te ….</w:t>
      </w:r>
    </w:p>
    <w:p w14:paraId="31E40AE5" w14:textId="77777777" w:rsidR="0098090F" w:rsidRDefault="0098090F" w:rsidP="0098090F">
      <w:pPr>
        <w:pStyle w:val="Plattetekstinspringen"/>
        <w:ind w:left="1410"/>
        <w:jc w:val="both"/>
        <w:rPr>
          <w:rFonts w:ascii="Calibri" w:hAnsi="Calibri" w:cs="Calibri"/>
        </w:rPr>
      </w:pPr>
    </w:p>
    <w:p w14:paraId="796C263A" w14:textId="173D9E06" w:rsidR="0098090F" w:rsidRPr="001D55D9" w:rsidRDefault="0098090F" w:rsidP="0098090F">
      <w:pPr>
        <w:pStyle w:val="Plattetekstinspringen"/>
        <w:ind w:left="1410"/>
        <w:jc w:val="both"/>
        <w:rPr>
          <w:rFonts w:ascii="Calibri" w:hAnsi="Calibri" w:cs="Calibri"/>
        </w:rPr>
      </w:pPr>
      <w:r w:rsidRPr="001D55D9">
        <w:rPr>
          <w:rFonts w:ascii="Calibri" w:hAnsi="Calibri" w:cs="Calibri"/>
        </w:rPr>
        <w:t>Concluant,</w:t>
      </w:r>
    </w:p>
    <w:p w14:paraId="45038AA9" w14:textId="1C66AFFB" w:rsidR="0098090F" w:rsidRPr="001D55D9" w:rsidRDefault="0098090F" w:rsidP="0098090F">
      <w:pPr>
        <w:pStyle w:val="Plattetekstinspringen"/>
        <w:ind w:left="1410"/>
        <w:jc w:val="both"/>
        <w:rPr>
          <w:rFonts w:ascii="Calibri" w:hAnsi="Calibri" w:cs="Calibri"/>
        </w:rPr>
      </w:pPr>
      <w:r w:rsidRPr="001D55D9">
        <w:rPr>
          <w:rFonts w:ascii="Calibri" w:hAnsi="Calibri" w:cs="Calibri"/>
        </w:rPr>
        <w:t xml:space="preserve">Hebbende als advocaat </w:t>
      </w:r>
      <w:r w:rsidR="00F551D2">
        <w:rPr>
          <w:rFonts w:ascii="Calibri" w:hAnsi="Calibri" w:cs="Calibri"/>
        </w:rPr>
        <w:t xml:space="preserve">… </w:t>
      </w:r>
      <w:r w:rsidRPr="001D55D9">
        <w:rPr>
          <w:rFonts w:ascii="Calibri" w:hAnsi="Calibri" w:cs="Calibri"/>
        </w:rPr>
        <w:t xml:space="preserve">, met kantoor te </w:t>
      </w:r>
      <w:r w:rsidR="00F551D2">
        <w:rPr>
          <w:rFonts w:ascii="Calibri" w:hAnsi="Calibri" w:cs="Calibri"/>
        </w:rPr>
        <w:t>…</w:t>
      </w:r>
      <w:r w:rsidRPr="001D55D9">
        <w:rPr>
          <w:rFonts w:ascii="Calibri" w:hAnsi="Calibri" w:cs="Calibri"/>
        </w:rPr>
        <w:t>.</w:t>
      </w:r>
    </w:p>
    <w:p w14:paraId="33EB5E85" w14:textId="77777777" w:rsidR="0098090F" w:rsidRPr="001D55D9" w:rsidRDefault="0098090F" w:rsidP="0098090F">
      <w:pPr>
        <w:pStyle w:val="Plattetekstinspringen"/>
        <w:ind w:left="1410"/>
        <w:jc w:val="both"/>
        <w:rPr>
          <w:rFonts w:ascii="Calibri" w:hAnsi="Calibri" w:cs="Calibri"/>
        </w:rPr>
      </w:pPr>
    </w:p>
    <w:p w14:paraId="7CF570AD" w14:textId="6E92256C" w:rsidR="0098090F" w:rsidRPr="00606595" w:rsidRDefault="0098090F" w:rsidP="00F551D2">
      <w:pPr>
        <w:ind w:left="1418" w:hanging="1418"/>
        <w:rPr>
          <w:rFonts w:asciiTheme="minorHAnsi" w:hAnsiTheme="minorHAnsi" w:cstheme="minorHAnsi"/>
        </w:rPr>
      </w:pPr>
      <w:r w:rsidRPr="001D55D9">
        <w:rPr>
          <w:rFonts w:cs="Calibri"/>
          <w:b/>
          <w:u w:val="single"/>
        </w:rPr>
        <w:t>TEGEN:</w:t>
      </w:r>
      <w:r w:rsidRPr="001D55D9">
        <w:rPr>
          <w:rFonts w:cs="Calibri"/>
        </w:rPr>
        <w:tab/>
      </w:r>
      <w:r w:rsidR="00F551D2">
        <w:rPr>
          <w:rFonts w:asciiTheme="minorHAnsi" w:hAnsiTheme="minorHAnsi" w:cstheme="minorHAnsi"/>
          <w:b/>
          <w:bCs/>
          <w:lang w:bidi="nl-BE"/>
        </w:rPr>
        <w:t xml:space="preserve">Het Openbaar Ministerie </w:t>
      </w:r>
      <w:r w:rsidR="00F551D2">
        <w:rPr>
          <w:rFonts w:asciiTheme="minorHAnsi" w:hAnsiTheme="minorHAnsi" w:cstheme="minorHAnsi"/>
          <w:lang w:bidi="nl-BE"/>
        </w:rPr>
        <w:t>bij de rechtbank van …</w:t>
      </w:r>
      <w:r w:rsidR="00606595" w:rsidRPr="00606595">
        <w:rPr>
          <w:rFonts w:asciiTheme="minorHAnsi" w:hAnsiTheme="minorHAnsi" w:cstheme="minorHAnsi"/>
          <w:lang w:bidi="nl-BE"/>
        </w:rPr>
        <w:t xml:space="preserve">  </w:t>
      </w:r>
    </w:p>
    <w:p w14:paraId="6EF09122" w14:textId="77777777" w:rsidR="0098090F" w:rsidRPr="001D55D9" w:rsidRDefault="0098090F" w:rsidP="0098090F">
      <w:pPr>
        <w:pBdr>
          <w:bottom w:val="single" w:sz="6" w:space="1" w:color="auto"/>
        </w:pBdr>
        <w:rPr>
          <w:rFonts w:cs="Calibri"/>
        </w:rPr>
      </w:pPr>
    </w:p>
    <w:p w14:paraId="1A8D1AB2" w14:textId="77777777" w:rsidR="00771AF6" w:rsidRPr="00771AF6" w:rsidRDefault="00771AF6" w:rsidP="00F551D2">
      <w:pPr>
        <w:pStyle w:val="ProcedureTekst"/>
        <w:rPr>
          <w:rFonts w:asciiTheme="minorHAnsi" w:hAnsiTheme="minorHAnsi" w:cstheme="minorHAnsi"/>
          <w:bCs/>
          <w:sz w:val="22"/>
          <w:szCs w:val="22"/>
        </w:rPr>
      </w:pPr>
    </w:p>
    <w:p w14:paraId="79315B60" w14:textId="651E12B5" w:rsidR="0098090F" w:rsidRDefault="0098090F" w:rsidP="0098090F">
      <w:pPr>
        <w:pStyle w:val="ProcedureTekst"/>
        <w:jc w:val="center"/>
        <w:rPr>
          <w:rFonts w:ascii="Calibri" w:hAnsi="Calibri" w:cs="Calibri"/>
          <w:sz w:val="22"/>
          <w:szCs w:val="22"/>
        </w:rPr>
      </w:pPr>
      <w:r>
        <w:rPr>
          <w:rFonts w:ascii="Calibri" w:hAnsi="Calibri" w:cs="Calibri"/>
          <w:sz w:val="22"/>
          <w:szCs w:val="22"/>
        </w:rPr>
        <w:t>Kamer</w:t>
      </w:r>
    </w:p>
    <w:p w14:paraId="0292D05B" w14:textId="77777777" w:rsidR="0098090F" w:rsidRPr="001D55D9" w:rsidRDefault="0098090F" w:rsidP="0098090F">
      <w:pPr>
        <w:pStyle w:val="ProcedureTekst"/>
        <w:jc w:val="center"/>
        <w:rPr>
          <w:rFonts w:ascii="Calibri" w:hAnsi="Calibri" w:cs="Calibri"/>
          <w:sz w:val="22"/>
          <w:szCs w:val="22"/>
        </w:rPr>
      </w:pPr>
    </w:p>
    <w:p w14:paraId="5D11A831" w14:textId="0424F686" w:rsidR="0098090F" w:rsidRPr="001364E5" w:rsidRDefault="0098090F" w:rsidP="0098090F">
      <w:pPr>
        <w:tabs>
          <w:tab w:val="left" w:pos="1620"/>
        </w:tabs>
        <w:ind w:left="1418" w:hanging="878"/>
        <w:jc w:val="center"/>
        <w:rPr>
          <w:rFonts w:ascii="Arial" w:hAnsi="Arial" w:cs="Arial"/>
          <w:b/>
          <w:u w:val="single"/>
        </w:rPr>
      </w:pPr>
      <w:r>
        <w:rPr>
          <w:rFonts w:ascii="Arial" w:hAnsi="Arial" w:cs="Arial"/>
          <w:b/>
        </w:rPr>
        <w:t>Notitienummer</w:t>
      </w:r>
    </w:p>
    <w:p w14:paraId="6794587E" w14:textId="77B294BF" w:rsidR="0098090F" w:rsidRPr="00F551D2" w:rsidRDefault="0098090F" w:rsidP="00F551D2">
      <w:pPr>
        <w:pStyle w:val="ProcedureTekst"/>
        <w:jc w:val="center"/>
        <w:rPr>
          <w:rFonts w:ascii="Calibri" w:hAnsi="Calibri" w:cs="Calibri"/>
          <w:sz w:val="22"/>
          <w:szCs w:val="22"/>
        </w:rPr>
      </w:pPr>
      <w:r w:rsidRPr="001D55D9">
        <w:rPr>
          <w:rFonts w:ascii="Calibri" w:hAnsi="Calibri" w:cs="Calibri"/>
          <w:sz w:val="22"/>
          <w:szCs w:val="22"/>
        </w:rPr>
        <w:t xml:space="preserve">Zitting dd. </w:t>
      </w:r>
      <w:r>
        <w:rPr>
          <w:rFonts w:ascii="Calibri" w:hAnsi="Calibri" w:cs="Calibri"/>
          <w:sz w:val="22"/>
          <w:szCs w:val="22"/>
        </w:rPr>
        <w:t>…/../….</w:t>
      </w:r>
    </w:p>
    <w:p w14:paraId="4113D81A" w14:textId="77777777" w:rsidR="0098090F" w:rsidRPr="001D55D9" w:rsidRDefault="0098090F" w:rsidP="0098090F">
      <w:pPr>
        <w:pBdr>
          <w:bottom w:val="single" w:sz="6" w:space="1" w:color="auto"/>
        </w:pBdr>
        <w:rPr>
          <w:rFonts w:cs="Calibri"/>
        </w:rPr>
      </w:pPr>
    </w:p>
    <w:p w14:paraId="315640BA" w14:textId="77777777" w:rsidR="0098090F" w:rsidRPr="001D55D9" w:rsidRDefault="0098090F" w:rsidP="0098090F">
      <w:pPr>
        <w:pStyle w:val="ProcedureTekst"/>
        <w:rPr>
          <w:rFonts w:ascii="Calibri" w:hAnsi="Calibri" w:cs="Calibri"/>
          <w:sz w:val="22"/>
          <w:szCs w:val="22"/>
        </w:rPr>
      </w:pPr>
    </w:p>
    <w:p w14:paraId="54FDECE5" w14:textId="77777777" w:rsidR="0098090F" w:rsidRPr="001D55D9" w:rsidRDefault="0098090F" w:rsidP="0098090F">
      <w:pPr>
        <w:pStyle w:val="ProcedureTekst"/>
        <w:rPr>
          <w:rFonts w:ascii="Calibri" w:hAnsi="Calibri" w:cs="Calibri"/>
          <w:sz w:val="22"/>
          <w:szCs w:val="22"/>
        </w:rPr>
      </w:pPr>
    </w:p>
    <w:p w14:paraId="2C75F86A" w14:textId="67EF17EF" w:rsidR="0098090F" w:rsidRDefault="0098090F" w:rsidP="0098090F">
      <w:pPr>
        <w:pStyle w:val="ProcedureTekst"/>
        <w:jc w:val="center"/>
        <w:rPr>
          <w:rFonts w:ascii="Calibri" w:hAnsi="Calibri" w:cs="Calibri"/>
          <w:sz w:val="22"/>
          <w:szCs w:val="22"/>
        </w:rPr>
      </w:pPr>
      <w:r w:rsidRPr="001D55D9">
        <w:rPr>
          <w:rFonts w:ascii="Calibri" w:hAnsi="Calibri" w:cs="Calibri"/>
          <w:sz w:val="22"/>
          <w:szCs w:val="22"/>
        </w:rPr>
        <w:t>Onder voorbehoud van alle recht en zonder enige nadelige erkentenis;</w:t>
      </w:r>
    </w:p>
    <w:p w14:paraId="5A762030" w14:textId="00BDAEA7" w:rsidR="0098090F" w:rsidRDefault="0098090F" w:rsidP="0098090F">
      <w:pPr>
        <w:pStyle w:val="ProcedureTekst"/>
        <w:jc w:val="center"/>
        <w:rPr>
          <w:rFonts w:ascii="Calibri" w:hAnsi="Calibri" w:cs="Calibri"/>
          <w:sz w:val="22"/>
          <w:szCs w:val="22"/>
        </w:rPr>
      </w:pPr>
    </w:p>
    <w:p w14:paraId="07E1EEA6" w14:textId="018D0FB4" w:rsidR="0098090F" w:rsidRDefault="0098090F" w:rsidP="0098090F">
      <w:pPr>
        <w:pStyle w:val="ProcedureTekst"/>
        <w:jc w:val="center"/>
        <w:rPr>
          <w:rFonts w:ascii="Calibri" w:hAnsi="Calibri" w:cs="Calibri"/>
          <w:sz w:val="22"/>
          <w:szCs w:val="22"/>
        </w:rPr>
      </w:pPr>
    </w:p>
    <w:p w14:paraId="1BA0309E" w14:textId="6B75CC6A" w:rsidR="0098090F" w:rsidRDefault="0098090F" w:rsidP="0098090F">
      <w:pPr>
        <w:pStyle w:val="ProcedureTekst"/>
        <w:jc w:val="center"/>
        <w:rPr>
          <w:rFonts w:ascii="Calibri" w:hAnsi="Calibri" w:cs="Calibri"/>
          <w:sz w:val="22"/>
          <w:szCs w:val="22"/>
        </w:rPr>
      </w:pPr>
    </w:p>
    <w:p w14:paraId="212FF63F" w14:textId="48068C8D" w:rsidR="0098090F" w:rsidRDefault="0098090F" w:rsidP="0098090F">
      <w:pPr>
        <w:pStyle w:val="ProcedureTekst"/>
        <w:jc w:val="center"/>
        <w:rPr>
          <w:rFonts w:ascii="Calibri" w:hAnsi="Calibri" w:cs="Calibri"/>
          <w:sz w:val="22"/>
          <w:szCs w:val="22"/>
        </w:rPr>
      </w:pPr>
    </w:p>
    <w:p w14:paraId="5AFAD206" w14:textId="6C29E8E8" w:rsidR="0098090F" w:rsidRDefault="0098090F" w:rsidP="0098090F"/>
    <w:p w14:paraId="4CD481B6" w14:textId="77777777" w:rsidR="0098090F" w:rsidRPr="001D55D9" w:rsidRDefault="0098090F" w:rsidP="0098090F">
      <w:pPr>
        <w:pStyle w:val="ProcedureTekst"/>
        <w:rPr>
          <w:rFonts w:ascii="Calibri" w:hAnsi="Calibri" w:cs="Calibri"/>
          <w:sz w:val="22"/>
          <w:szCs w:val="22"/>
        </w:rPr>
      </w:pPr>
    </w:p>
    <w:p w14:paraId="0F81007B" w14:textId="77777777" w:rsidR="0098090F" w:rsidRPr="001D55D9" w:rsidRDefault="0098090F" w:rsidP="0098090F">
      <w:pPr>
        <w:pStyle w:val="ProcedureTekst"/>
        <w:jc w:val="both"/>
        <w:rPr>
          <w:rFonts w:ascii="Calibri" w:hAnsi="Calibri" w:cs="Calibri"/>
          <w:b/>
          <w:sz w:val="22"/>
          <w:szCs w:val="22"/>
          <w:u w:val="single"/>
        </w:rPr>
      </w:pPr>
    </w:p>
    <w:p w14:paraId="62318DD0" w14:textId="77777777" w:rsidR="00F551D2" w:rsidRDefault="00F551D2">
      <w:pPr>
        <w:rPr>
          <w:rFonts w:cs="Calibri"/>
          <w:b/>
          <w:u w:val="single"/>
          <w:lang w:eastAsia="fr-FR" w:bidi="he-IL"/>
        </w:rPr>
      </w:pPr>
      <w:r>
        <w:rPr>
          <w:rFonts w:cs="Calibri"/>
          <w:b/>
          <w:u w:val="single"/>
        </w:rPr>
        <w:br w:type="page"/>
      </w:r>
    </w:p>
    <w:p w14:paraId="62FC2E98" w14:textId="19014E9D" w:rsidR="0098090F" w:rsidRDefault="0098090F" w:rsidP="0098090F">
      <w:pPr>
        <w:pStyle w:val="ProcedureTekst"/>
        <w:numPr>
          <w:ilvl w:val="0"/>
          <w:numId w:val="1"/>
        </w:numPr>
        <w:jc w:val="both"/>
        <w:rPr>
          <w:rFonts w:ascii="Calibri" w:hAnsi="Calibri" w:cs="Calibri"/>
          <w:b/>
          <w:sz w:val="22"/>
          <w:szCs w:val="22"/>
          <w:u w:val="single"/>
        </w:rPr>
      </w:pPr>
      <w:r w:rsidRPr="001D55D9">
        <w:rPr>
          <w:rFonts w:ascii="Calibri" w:hAnsi="Calibri" w:cs="Calibri"/>
          <w:b/>
          <w:sz w:val="22"/>
          <w:szCs w:val="22"/>
          <w:u w:val="single"/>
        </w:rPr>
        <w:lastRenderedPageBreak/>
        <w:t>De Aanspraken:</w:t>
      </w:r>
    </w:p>
    <w:p w14:paraId="6545D6AA" w14:textId="77777777" w:rsidR="00F551D2" w:rsidRDefault="00F551D2" w:rsidP="00F551D2">
      <w:pPr>
        <w:pStyle w:val="ProcedureTekst"/>
        <w:jc w:val="both"/>
        <w:rPr>
          <w:rFonts w:ascii="Calibri" w:hAnsi="Calibri" w:cs="Calibri"/>
          <w:b/>
          <w:sz w:val="22"/>
          <w:szCs w:val="22"/>
          <w:u w:val="single"/>
        </w:rPr>
      </w:pPr>
    </w:p>
    <w:p w14:paraId="6731B55C" w14:textId="5E488066"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1.</w:t>
      </w:r>
      <w:r>
        <w:rPr>
          <w:rFonts w:ascii="Calibri" w:hAnsi="Calibri" w:cs="Calibri"/>
          <w:bCs/>
          <w:sz w:val="22"/>
          <w:szCs w:val="22"/>
        </w:rPr>
        <w:br/>
        <w:t>Concluant wordt conform de dagvaarding vervolgd voor feiten van;</w:t>
      </w:r>
    </w:p>
    <w:p w14:paraId="33D96393" w14:textId="77777777" w:rsidR="00F551D2" w:rsidRDefault="00F551D2" w:rsidP="00F551D2">
      <w:pPr>
        <w:pStyle w:val="ProcedureTekst"/>
        <w:jc w:val="both"/>
        <w:rPr>
          <w:rFonts w:ascii="Calibri" w:hAnsi="Calibri" w:cs="Calibri"/>
          <w:bCs/>
          <w:sz w:val="22"/>
          <w:szCs w:val="22"/>
        </w:rPr>
      </w:pPr>
    </w:p>
    <w:p w14:paraId="317B1BE6" w14:textId="77777777" w:rsidR="00F551D2" w:rsidRDefault="00F551D2" w:rsidP="00F551D2">
      <w:pPr>
        <w:pStyle w:val="ProcedureTekst"/>
        <w:jc w:val="both"/>
        <w:rPr>
          <w:rFonts w:ascii="Calibri" w:hAnsi="Calibri" w:cs="Calibri"/>
          <w:bCs/>
          <w:sz w:val="22"/>
          <w:szCs w:val="22"/>
        </w:rPr>
      </w:pPr>
    </w:p>
    <w:p w14:paraId="62B8B68F" w14:textId="77777777" w:rsidR="00F551D2" w:rsidRDefault="00F551D2" w:rsidP="00F551D2">
      <w:pPr>
        <w:pStyle w:val="ProcedureTekst"/>
        <w:jc w:val="both"/>
        <w:rPr>
          <w:rFonts w:ascii="Calibri" w:hAnsi="Calibri" w:cs="Calibri"/>
          <w:bCs/>
          <w:sz w:val="22"/>
          <w:szCs w:val="22"/>
        </w:rPr>
      </w:pPr>
    </w:p>
    <w:p w14:paraId="3D3C7220" w14:textId="77777777" w:rsidR="00F551D2" w:rsidRDefault="00F551D2" w:rsidP="00F551D2">
      <w:pPr>
        <w:pStyle w:val="ProcedureTekst"/>
        <w:jc w:val="both"/>
        <w:rPr>
          <w:rFonts w:ascii="Calibri" w:hAnsi="Calibri" w:cs="Calibri"/>
          <w:bCs/>
          <w:sz w:val="22"/>
          <w:szCs w:val="22"/>
        </w:rPr>
      </w:pPr>
    </w:p>
    <w:p w14:paraId="52C1AD19" w14:textId="6A8CC240"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2.</w:t>
      </w:r>
      <w:r>
        <w:rPr>
          <w:rFonts w:ascii="Calibri" w:hAnsi="Calibri" w:cs="Calibri"/>
          <w:bCs/>
          <w:sz w:val="22"/>
          <w:szCs w:val="22"/>
        </w:rPr>
        <w:br/>
        <w:t xml:space="preserve">Concluant verzoekt Uw Rechtbank om de gedinginleidende akte nietig te verklaren, gelet op </w:t>
      </w:r>
      <w:proofErr w:type="spellStart"/>
      <w:r>
        <w:rPr>
          <w:rFonts w:ascii="Calibri" w:hAnsi="Calibri" w:cs="Calibri"/>
          <w:bCs/>
          <w:sz w:val="22"/>
          <w:szCs w:val="22"/>
        </w:rPr>
        <w:t>obscuri</w:t>
      </w:r>
      <w:proofErr w:type="spellEnd"/>
      <w:r>
        <w:rPr>
          <w:rFonts w:ascii="Calibri" w:hAnsi="Calibri" w:cs="Calibri"/>
          <w:bCs/>
          <w:sz w:val="22"/>
          <w:szCs w:val="22"/>
        </w:rPr>
        <w:t xml:space="preserve"> </w:t>
      </w:r>
      <w:proofErr w:type="spellStart"/>
      <w:r>
        <w:rPr>
          <w:rFonts w:ascii="Calibri" w:hAnsi="Calibri" w:cs="Calibri"/>
          <w:bCs/>
          <w:sz w:val="22"/>
          <w:szCs w:val="22"/>
        </w:rPr>
        <w:t>libelli</w:t>
      </w:r>
      <w:proofErr w:type="spellEnd"/>
      <w:r>
        <w:rPr>
          <w:rFonts w:ascii="Calibri" w:hAnsi="Calibri" w:cs="Calibri"/>
          <w:bCs/>
          <w:sz w:val="22"/>
          <w:szCs w:val="22"/>
        </w:rPr>
        <w:t>.</w:t>
      </w:r>
    </w:p>
    <w:p w14:paraId="442E6CFD" w14:textId="77777777" w:rsidR="00F551D2" w:rsidRDefault="00F551D2" w:rsidP="00F551D2">
      <w:pPr>
        <w:pStyle w:val="ProcedureTekst"/>
        <w:jc w:val="both"/>
        <w:rPr>
          <w:rFonts w:ascii="Calibri" w:hAnsi="Calibri" w:cs="Calibri"/>
          <w:bCs/>
          <w:sz w:val="22"/>
          <w:szCs w:val="22"/>
        </w:rPr>
      </w:pPr>
    </w:p>
    <w:p w14:paraId="69256A20" w14:textId="77777777" w:rsidR="00F551D2" w:rsidRDefault="00F551D2" w:rsidP="00F551D2">
      <w:pPr>
        <w:pStyle w:val="ProcedureTekst"/>
        <w:jc w:val="both"/>
        <w:rPr>
          <w:rFonts w:ascii="Calibri" w:hAnsi="Calibri" w:cs="Calibri"/>
          <w:bCs/>
          <w:sz w:val="22"/>
          <w:szCs w:val="22"/>
        </w:rPr>
      </w:pPr>
    </w:p>
    <w:p w14:paraId="5542B3E6" w14:textId="77777777" w:rsidR="00F551D2" w:rsidRPr="00F551D2" w:rsidRDefault="00F551D2" w:rsidP="00F551D2">
      <w:pPr>
        <w:pStyle w:val="ProcedureTekst"/>
        <w:jc w:val="both"/>
        <w:rPr>
          <w:rFonts w:ascii="Calibri" w:hAnsi="Calibri" w:cs="Calibri"/>
          <w:bCs/>
          <w:sz w:val="22"/>
          <w:szCs w:val="22"/>
        </w:rPr>
      </w:pPr>
    </w:p>
    <w:p w14:paraId="10588452" w14:textId="0FD04343"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De Feiten</w:t>
      </w:r>
    </w:p>
    <w:p w14:paraId="3E39A7F7" w14:textId="77777777" w:rsidR="00F551D2" w:rsidRDefault="00F551D2" w:rsidP="00F551D2">
      <w:pPr>
        <w:pStyle w:val="ProcedureTekst"/>
        <w:jc w:val="both"/>
        <w:rPr>
          <w:rFonts w:ascii="Calibri" w:hAnsi="Calibri" w:cs="Calibri"/>
          <w:b/>
          <w:sz w:val="22"/>
          <w:szCs w:val="22"/>
          <w:u w:val="single"/>
        </w:rPr>
      </w:pPr>
    </w:p>
    <w:p w14:paraId="698B8477" w14:textId="681F5DE5"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w:t>
      </w:r>
    </w:p>
    <w:p w14:paraId="4B3CB624" w14:textId="77777777" w:rsidR="00F551D2" w:rsidRDefault="00F551D2" w:rsidP="00F551D2">
      <w:pPr>
        <w:pStyle w:val="ProcedureTekst"/>
        <w:jc w:val="both"/>
        <w:rPr>
          <w:rFonts w:ascii="Calibri" w:hAnsi="Calibri" w:cs="Calibri"/>
          <w:bCs/>
          <w:sz w:val="22"/>
          <w:szCs w:val="22"/>
        </w:rPr>
      </w:pPr>
    </w:p>
    <w:p w14:paraId="55976ED6" w14:textId="77777777" w:rsidR="00F551D2" w:rsidRPr="00F551D2" w:rsidRDefault="00F551D2" w:rsidP="00F551D2">
      <w:pPr>
        <w:pStyle w:val="ProcedureTekst"/>
        <w:jc w:val="both"/>
        <w:rPr>
          <w:rFonts w:ascii="Calibri" w:hAnsi="Calibri" w:cs="Calibri"/>
          <w:bCs/>
          <w:sz w:val="22"/>
          <w:szCs w:val="22"/>
        </w:rPr>
      </w:pPr>
    </w:p>
    <w:p w14:paraId="43B11EA2" w14:textId="30A6F3CD"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In Rechte</w:t>
      </w:r>
    </w:p>
    <w:p w14:paraId="081FAE23" w14:textId="0FE3D651" w:rsidR="0098090F" w:rsidRDefault="0098090F" w:rsidP="0098090F">
      <w:pPr>
        <w:pStyle w:val="ProcedureTekst"/>
        <w:ind w:left="1996"/>
        <w:jc w:val="both"/>
        <w:rPr>
          <w:rFonts w:ascii="Calibri" w:hAnsi="Calibri" w:cs="Calibri"/>
          <w:b/>
          <w:sz w:val="22"/>
          <w:szCs w:val="22"/>
          <w:u w:val="single"/>
        </w:rPr>
      </w:pPr>
    </w:p>
    <w:p w14:paraId="32A1A8E9" w14:textId="623A8EB7" w:rsidR="0098090F" w:rsidRDefault="0098090F" w:rsidP="0098090F">
      <w:pPr>
        <w:pStyle w:val="ProcedureTekst"/>
        <w:numPr>
          <w:ilvl w:val="0"/>
          <w:numId w:val="2"/>
        </w:numPr>
        <w:jc w:val="both"/>
        <w:rPr>
          <w:rFonts w:ascii="Calibri" w:hAnsi="Calibri" w:cs="Calibri"/>
          <w:b/>
          <w:sz w:val="22"/>
          <w:szCs w:val="22"/>
          <w:u w:val="single"/>
        </w:rPr>
      </w:pPr>
      <w:r>
        <w:rPr>
          <w:rFonts w:ascii="Calibri" w:hAnsi="Calibri" w:cs="Calibri"/>
          <w:b/>
          <w:sz w:val="22"/>
          <w:szCs w:val="22"/>
          <w:u w:val="single"/>
        </w:rPr>
        <w:t xml:space="preserve">Eerste </w:t>
      </w:r>
      <w:r w:rsidR="00F551D2">
        <w:rPr>
          <w:rFonts w:ascii="Calibri" w:hAnsi="Calibri" w:cs="Calibri"/>
          <w:b/>
          <w:sz w:val="22"/>
          <w:szCs w:val="22"/>
          <w:u w:val="single"/>
        </w:rPr>
        <w:t xml:space="preserve">preliminairmiddel: </w:t>
      </w:r>
      <w:proofErr w:type="spellStart"/>
      <w:r w:rsidR="00F551D2">
        <w:rPr>
          <w:rFonts w:ascii="Calibri" w:hAnsi="Calibri" w:cs="Calibri"/>
          <w:b/>
          <w:sz w:val="22"/>
          <w:szCs w:val="22"/>
          <w:u w:val="single"/>
        </w:rPr>
        <w:t>obscuri</w:t>
      </w:r>
      <w:proofErr w:type="spellEnd"/>
      <w:r w:rsidR="00F551D2">
        <w:rPr>
          <w:rFonts w:ascii="Calibri" w:hAnsi="Calibri" w:cs="Calibri"/>
          <w:b/>
          <w:sz w:val="22"/>
          <w:szCs w:val="22"/>
          <w:u w:val="single"/>
        </w:rPr>
        <w:t xml:space="preserve"> </w:t>
      </w:r>
      <w:proofErr w:type="spellStart"/>
      <w:r w:rsidR="00F551D2">
        <w:rPr>
          <w:rFonts w:ascii="Calibri" w:hAnsi="Calibri" w:cs="Calibri"/>
          <w:b/>
          <w:sz w:val="22"/>
          <w:szCs w:val="22"/>
          <w:u w:val="single"/>
        </w:rPr>
        <w:t>libelli</w:t>
      </w:r>
      <w:proofErr w:type="spellEnd"/>
    </w:p>
    <w:p w14:paraId="42EAA50F" w14:textId="77777777" w:rsidR="00F551D2" w:rsidRDefault="00F551D2" w:rsidP="00F551D2">
      <w:pPr>
        <w:pStyle w:val="ProcedureTekst"/>
        <w:jc w:val="both"/>
        <w:rPr>
          <w:rFonts w:ascii="Calibri" w:hAnsi="Calibri" w:cs="Calibri"/>
          <w:b/>
          <w:sz w:val="22"/>
          <w:szCs w:val="22"/>
          <w:u w:val="single"/>
        </w:rPr>
      </w:pPr>
    </w:p>
    <w:p w14:paraId="4F9C40C3" w14:textId="6413D3CE" w:rsidR="00F551D2" w:rsidRDefault="00F551D2" w:rsidP="00F551D2">
      <w:pPr>
        <w:tabs>
          <w:tab w:val="left" w:pos="567"/>
          <w:tab w:val="right" w:pos="9072"/>
        </w:tabs>
        <w:spacing w:after="0" w:line="240" w:lineRule="auto"/>
        <w:jc w:val="both"/>
        <w:rPr>
          <w:rFonts w:cs="Calibri"/>
          <w:bCs/>
          <w:lang w:eastAsia="fr-FR" w:bidi="he-IL"/>
        </w:rPr>
      </w:pPr>
      <w:r>
        <w:rPr>
          <w:rFonts w:cs="Calibri"/>
          <w:bCs/>
        </w:rPr>
        <w:t>3.</w:t>
      </w:r>
      <w:r>
        <w:rPr>
          <w:rFonts w:cs="Calibri"/>
          <w:bCs/>
        </w:rPr>
        <w:br/>
      </w:r>
      <w:r>
        <w:rPr>
          <w:rFonts w:cs="Calibri"/>
          <w:bCs/>
          <w:lang w:eastAsia="fr-FR" w:bidi="he-IL"/>
        </w:rPr>
        <w:t xml:space="preserve">Artikel 182 Sv. bepaalt niet in welke bewoordingen een dagvaarding moet worden opgesteld, maar wel dat een dagvaarding, om geldig te zijn, aan de beklaagde het voorwerp van de tenlastelegging voldoende moet doen kennen en hem in staat stellen zijn recht van verdediging uit te oefenen; de beklaagde moet met genoegzame zekerheid weten wat hem precies ten laste wordt gelegd </w:t>
      </w:r>
      <w:r w:rsidR="00A85BBB">
        <w:rPr>
          <w:rFonts w:cs="Calibri"/>
          <w:bCs/>
          <w:lang w:eastAsia="fr-FR" w:bidi="he-IL"/>
        </w:rPr>
        <w:t>om</w:t>
      </w:r>
      <w:r>
        <w:rPr>
          <w:rFonts w:cs="Calibri"/>
          <w:bCs/>
          <w:lang w:eastAsia="fr-FR" w:bidi="he-IL"/>
        </w:rPr>
        <w:t xml:space="preserve"> ter zake zijn verdediging kunnen voordragen. </w:t>
      </w:r>
    </w:p>
    <w:p w14:paraId="386D5D52" w14:textId="77777777" w:rsidR="00F551D2" w:rsidRDefault="00F551D2" w:rsidP="00F551D2">
      <w:pPr>
        <w:tabs>
          <w:tab w:val="left" w:pos="567"/>
          <w:tab w:val="right" w:pos="9072"/>
        </w:tabs>
        <w:spacing w:after="0" w:line="240" w:lineRule="auto"/>
        <w:jc w:val="both"/>
        <w:rPr>
          <w:rFonts w:cs="Calibri"/>
          <w:bCs/>
          <w:lang w:eastAsia="fr-FR" w:bidi="he-IL"/>
        </w:rPr>
      </w:pPr>
    </w:p>
    <w:p w14:paraId="56A1DC84" w14:textId="77777777" w:rsidR="00F551D2" w:rsidRPr="00167A7B" w:rsidRDefault="00F551D2" w:rsidP="00F551D2">
      <w:pPr>
        <w:tabs>
          <w:tab w:val="left" w:pos="567"/>
          <w:tab w:val="right" w:pos="9072"/>
        </w:tabs>
        <w:spacing w:after="0" w:line="240" w:lineRule="auto"/>
        <w:jc w:val="both"/>
        <w:rPr>
          <w:rFonts w:cs="Calibri"/>
          <w:bCs/>
          <w:lang w:eastAsia="fr-FR" w:bidi="he-IL"/>
        </w:rPr>
      </w:pPr>
      <w:r w:rsidRPr="00167A7B">
        <w:rPr>
          <w:rFonts w:cs="Calibri"/>
          <w:bCs/>
          <w:lang w:eastAsia="fr-FR" w:bidi="he-IL"/>
        </w:rPr>
        <w:t>Het wezenlijke daarbij is dat de beklaagde op de hoogte wordt gebracht omtrent de tenlastelegging waarvoor hij precies wordt vervolgd en waarop hij zich zal dienen te verdedigen, en dat deze tenlastelegging ondubbelzinnig is.</w:t>
      </w:r>
    </w:p>
    <w:p w14:paraId="1A95A9F8" w14:textId="77777777" w:rsidR="00F551D2" w:rsidRPr="00167A7B" w:rsidRDefault="00F551D2" w:rsidP="00F551D2">
      <w:pPr>
        <w:tabs>
          <w:tab w:val="left" w:pos="567"/>
          <w:tab w:val="right" w:pos="9072"/>
        </w:tabs>
        <w:spacing w:after="0" w:line="240" w:lineRule="auto"/>
        <w:jc w:val="both"/>
        <w:rPr>
          <w:rFonts w:cs="Calibri"/>
          <w:bCs/>
          <w:lang w:eastAsia="fr-FR" w:bidi="he-IL"/>
        </w:rPr>
      </w:pPr>
    </w:p>
    <w:p w14:paraId="7AA645CA" w14:textId="77777777" w:rsidR="00F551D2" w:rsidRPr="00167A7B" w:rsidRDefault="00F551D2" w:rsidP="00F551D2">
      <w:pPr>
        <w:tabs>
          <w:tab w:val="left" w:pos="567"/>
          <w:tab w:val="right" w:pos="9072"/>
        </w:tabs>
        <w:spacing w:after="0" w:line="240" w:lineRule="auto"/>
        <w:jc w:val="both"/>
        <w:rPr>
          <w:rFonts w:cs="Calibri"/>
          <w:bCs/>
          <w:lang w:eastAsia="fr-FR" w:bidi="he-IL"/>
        </w:rPr>
      </w:pPr>
      <w:r w:rsidRPr="00167A7B">
        <w:rPr>
          <w:rFonts w:cs="Calibri"/>
          <w:bCs/>
          <w:lang w:eastAsia="fr-FR" w:bidi="he-IL"/>
        </w:rPr>
        <w:t>Artikel 6.3., a) EVRM vereist dat hij die vervolgd wordt onverwijld in bijzonderheden op de hoogte wordt gesteld van de aard en de reden van de tegen hem ingebrachte beschuldiging.</w:t>
      </w:r>
    </w:p>
    <w:p w14:paraId="57D04726" w14:textId="77777777" w:rsidR="00F551D2" w:rsidRPr="00167A7B" w:rsidRDefault="00F551D2" w:rsidP="00F551D2">
      <w:pPr>
        <w:tabs>
          <w:tab w:val="left" w:pos="567"/>
          <w:tab w:val="right" w:pos="9072"/>
        </w:tabs>
        <w:spacing w:after="0" w:line="240" w:lineRule="auto"/>
        <w:jc w:val="both"/>
        <w:rPr>
          <w:rFonts w:cs="Calibri"/>
          <w:bCs/>
          <w:lang w:eastAsia="fr-FR" w:bidi="he-IL"/>
        </w:rPr>
      </w:pPr>
    </w:p>
    <w:p w14:paraId="6C4664E1" w14:textId="77777777" w:rsidR="00F551D2" w:rsidRPr="00167A7B" w:rsidRDefault="00F551D2" w:rsidP="00F551D2">
      <w:pPr>
        <w:tabs>
          <w:tab w:val="left" w:pos="567"/>
          <w:tab w:val="right" w:pos="9072"/>
        </w:tabs>
        <w:spacing w:after="0" w:line="240" w:lineRule="auto"/>
        <w:jc w:val="both"/>
        <w:rPr>
          <w:rFonts w:cs="Calibri"/>
          <w:bCs/>
          <w:lang w:eastAsia="fr-FR" w:bidi="he-IL"/>
        </w:rPr>
      </w:pPr>
      <w:r w:rsidRPr="00167A7B">
        <w:rPr>
          <w:rFonts w:cs="Calibri"/>
          <w:bCs/>
          <w:lang w:eastAsia="fr-FR" w:bidi="he-IL"/>
        </w:rPr>
        <w:t>De “reden” van de beschuldiging slaat op de feiten, terwijl de “aard” betrekking heeft op de kwalificatie en dat een effectieve verdediging moet mogelijk worden gemaakt.</w:t>
      </w:r>
      <w:r>
        <w:rPr>
          <w:rStyle w:val="Voetnootmarkering"/>
          <w:rFonts w:cs="Calibri"/>
          <w:bCs/>
          <w:lang w:eastAsia="fr-FR" w:bidi="he-IL"/>
        </w:rPr>
        <w:footnoteReference w:id="1"/>
      </w:r>
    </w:p>
    <w:p w14:paraId="6398F10A" w14:textId="77777777" w:rsidR="00F551D2" w:rsidRPr="00167A7B" w:rsidRDefault="00F551D2" w:rsidP="00F551D2">
      <w:pPr>
        <w:tabs>
          <w:tab w:val="left" w:pos="567"/>
          <w:tab w:val="right" w:pos="9072"/>
        </w:tabs>
        <w:spacing w:after="0" w:line="240" w:lineRule="auto"/>
        <w:jc w:val="both"/>
        <w:rPr>
          <w:rFonts w:cs="Calibri"/>
          <w:bCs/>
          <w:lang w:eastAsia="fr-FR" w:bidi="he-IL"/>
        </w:rPr>
      </w:pPr>
    </w:p>
    <w:p w14:paraId="7D63FCA6" w14:textId="77777777" w:rsidR="00F551D2" w:rsidRPr="00167A7B" w:rsidRDefault="00F551D2" w:rsidP="00F551D2">
      <w:pPr>
        <w:tabs>
          <w:tab w:val="left" w:pos="567"/>
          <w:tab w:val="right" w:pos="9072"/>
        </w:tabs>
        <w:spacing w:after="0" w:line="240" w:lineRule="auto"/>
        <w:jc w:val="both"/>
        <w:rPr>
          <w:rFonts w:cs="Calibri"/>
          <w:bCs/>
          <w:lang w:eastAsia="fr-FR" w:bidi="he-IL"/>
        </w:rPr>
      </w:pPr>
      <w:r w:rsidRPr="00167A7B">
        <w:rPr>
          <w:rFonts w:cs="Calibri"/>
          <w:bCs/>
          <w:lang w:eastAsia="fr-FR" w:bidi="he-IL"/>
        </w:rPr>
        <w:t>M.b.t. de grond van precisering van de tenlastegelegde feiten is vereist dat de beklaagde het voorwerp van de vervolging kan kennen en hij zijn recht van verdediging kan uitoefenen</w:t>
      </w:r>
      <w:r>
        <w:rPr>
          <w:rFonts w:cs="Calibri"/>
          <w:bCs/>
          <w:lang w:eastAsia="fr-FR" w:bidi="he-IL"/>
        </w:rPr>
        <w:t>.</w:t>
      </w:r>
      <w:r>
        <w:rPr>
          <w:rStyle w:val="Voetnootmarkering"/>
          <w:rFonts w:cs="Calibri"/>
          <w:bCs/>
          <w:lang w:eastAsia="fr-FR" w:bidi="he-IL"/>
        </w:rPr>
        <w:footnoteReference w:id="2"/>
      </w:r>
    </w:p>
    <w:p w14:paraId="7FE05B58" w14:textId="77777777" w:rsidR="00F551D2" w:rsidRPr="00167A7B" w:rsidRDefault="00F551D2" w:rsidP="00F551D2">
      <w:pPr>
        <w:tabs>
          <w:tab w:val="left" w:pos="567"/>
          <w:tab w:val="right" w:pos="9072"/>
        </w:tabs>
        <w:spacing w:after="0" w:line="240" w:lineRule="auto"/>
        <w:jc w:val="both"/>
        <w:rPr>
          <w:rFonts w:cs="Calibri"/>
          <w:bCs/>
          <w:lang w:eastAsia="fr-FR" w:bidi="he-IL"/>
        </w:rPr>
      </w:pPr>
    </w:p>
    <w:p w14:paraId="5D1D46AA" w14:textId="77777777" w:rsidR="00F551D2" w:rsidRDefault="00F551D2" w:rsidP="00F551D2">
      <w:pPr>
        <w:tabs>
          <w:tab w:val="left" w:pos="567"/>
          <w:tab w:val="right" w:pos="9072"/>
        </w:tabs>
        <w:spacing w:after="0" w:line="240" w:lineRule="auto"/>
        <w:jc w:val="both"/>
        <w:rPr>
          <w:rFonts w:cs="Calibri"/>
          <w:bCs/>
          <w:lang w:eastAsia="fr-FR" w:bidi="he-IL"/>
        </w:rPr>
      </w:pPr>
      <w:r w:rsidRPr="00167A7B">
        <w:rPr>
          <w:rFonts w:cs="Calibri"/>
          <w:bCs/>
          <w:lang w:eastAsia="fr-FR" w:bidi="he-IL"/>
        </w:rPr>
        <w:t>De feitenrechter zal soeverein beoordelen of de gedaagde voldoende kennis heeft van datgene wat hem wordt tenlastegelegd met de vermeldingen in het exploot</w:t>
      </w:r>
      <w:r>
        <w:rPr>
          <w:rFonts w:cs="Calibri"/>
          <w:bCs/>
          <w:lang w:eastAsia="fr-FR" w:bidi="he-IL"/>
        </w:rPr>
        <w:t>.</w:t>
      </w:r>
      <w:r>
        <w:rPr>
          <w:rStyle w:val="Voetnootmarkering"/>
          <w:rFonts w:cs="Calibri"/>
          <w:bCs/>
          <w:lang w:eastAsia="fr-FR" w:bidi="he-IL"/>
        </w:rPr>
        <w:footnoteReference w:id="3"/>
      </w:r>
    </w:p>
    <w:p w14:paraId="472CBFCC" w14:textId="77777777" w:rsidR="00F551D2" w:rsidRDefault="00F551D2" w:rsidP="00F551D2">
      <w:pPr>
        <w:tabs>
          <w:tab w:val="left" w:pos="567"/>
          <w:tab w:val="right" w:pos="9072"/>
        </w:tabs>
        <w:spacing w:after="0" w:line="240" w:lineRule="auto"/>
        <w:jc w:val="both"/>
        <w:rPr>
          <w:rFonts w:cs="Calibri"/>
          <w:bCs/>
          <w:lang w:eastAsia="fr-FR" w:bidi="he-IL"/>
        </w:rPr>
      </w:pPr>
    </w:p>
    <w:p w14:paraId="6C93D4A9" w14:textId="77777777" w:rsidR="00F551D2" w:rsidRDefault="00F551D2" w:rsidP="00F551D2">
      <w:pPr>
        <w:tabs>
          <w:tab w:val="left" w:pos="567"/>
          <w:tab w:val="right" w:pos="9072"/>
        </w:tabs>
        <w:spacing w:after="0" w:line="240" w:lineRule="auto"/>
        <w:jc w:val="both"/>
        <w:rPr>
          <w:rFonts w:cs="Calibri"/>
          <w:bCs/>
          <w:lang w:eastAsia="fr-FR" w:bidi="he-IL"/>
        </w:rPr>
      </w:pPr>
      <w:r>
        <w:rPr>
          <w:rFonts w:cs="Calibri"/>
          <w:bCs/>
          <w:lang w:eastAsia="fr-FR" w:bidi="he-IL"/>
        </w:rPr>
        <w:t xml:space="preserve">Artikel 6.3.a. EVRM impliceert dat de rechten van verdediging vereisen dat de beklaagde kennis moet hebben van de precieze inhoud van de tenlasteleggingen waarvoor hij zich moet verdedigen. </w:t>
      </w:r>
    </w:p>
    <w:p w14:paraId="3608F093" w14:textId="77777777" w:rsidR="00F551D2" w:rsidRDefault="00F551D2" w:rsidP="00F551D2">
      <w:pPr>
        <w:tabs>
          <w:tab w:val="left" w:pos="567"/>
          <w:tab w:val="right" w:pos="9072"/>
        </w:tabs>
        <w:spacing w:after="0" w:line="240" w:lineRule="auto"/>
        <w:jc w:val="both"/>
        <w:rPr>
          <w:rFonts w:cs="Calibri"/>
          <w:bCs/>
          <w:lang w:eastAsia="fr-FR" w:bidi="he-IL"/>
        </w:rPr>
      </w:pPr>
    </w:p>
    <w:p w14:paraId="1AC6DF5C" w14:textId="7E524AB5" w:rsidR="00F551D2" w:rsidRPr="00167A7B" w:rsidRDefault="00F551D2" w:rsidP="00F551D2">
      <w:pPr>
        <w:tabs>
          <w:tab w:val="left" w:pos="567"/>
          <w:tab w:val="right" w:pos="9072"/>
        </w:tabs>
        <w:spacing w:after="0" w:line="240" w:lineRule="auto"/>
        <w:jc w:val="both"/>
        <w:rPr>
          <w:rFonts w:cs="Calibri"/>
          <w:bCs/>
          <w:lang w:eastAsia="fr-FR" w:bidi="he-IL"/>
        </w:rPr>
      </w:pPr>
      <w:r>
        <w:rPr>
          <w:rFonts w:cs="Calibri"/>
          <w:bCs/>
          <w:lang w:eastAsia="fr-FR" w:bidi="he-IL"/>
        </w:rPr>
        <w:t xml:space="preserve">Om voldoende informatie te bekomen over de inhoud van de tenlastelegging, moet gekeken worden naar de dagvaarding in samenhang met het concrete strafdossier. Indien het gebrek aan duidelijkheid niet verholpen wordt, leidt dit tot de nietigheid van de geding inleidende akte ten gevolge van </w:t>
      </w:r>
      <w:proofErr w:type="spellStart"/>
      <w:r>
        <w:rPr>
          <w:rFonts w:cs="Calibri"/>
          <w:bCs/>
          <w:i/>
          <w:iCs/>
          <w:lang w:eastAsia="fr-FR" w:bidi="he-IL"/>
        </w:rPr>
        <w:t>obscuri</w:t>
      </w:r>
      <w:proofErr w:type="spellEnd"/>
      <w:r>
        <w:rPr>
          <w:rFonts w:cs="Calibri"/>
          <w:bCs/>
          <w:i/>
          <w:iCs/>
          <w:lang w:eastAsia="fr-FR" w:bidi="he-IL"/>
        </w:rPr>
        <w:t xml:space="preserve"> </w:t>
      </w:r>
      <w:proofErr w:type="spellStart"/>
      <w:r>
        <w:rPr>
          <w:rFonts w:cs="Calibri"/>
          <w:bCs/>
          <w:i/>
          <w:iCs/>
          <w:lang w:eastAsia="fr-FR" w:bidi="he-IL"/>
        </w:rPr>
        <w:t>libelli</w:t>
      </w:r>
      <w:proofErr w:type="spellEnd"/>
      <w:r>
        <w:rPr>
          <w:rFonts w:cs="Calibri"/>
          <w:bCs/>
          <w:i/>
          <w:iCs/>
          <w:lang w:eastAsia="fr-FR" w:bidi="he-IL"/>
        </w:rPr>
        <w:t>.</w:t>
      </w:r>
      <w:r>
        <w:rPr>
          <w:rStyle w:val="Voetnootmarkering"/>
          <w:rFonts w:cs="Calibri"/>
          <w:bCs/>
          <w:i/>
          <w:iCs/>
          <w:lang w:eastAsia="fr-FR" w:bidi="he-IL"/>
        </w:rPr>
        <w:footnoteReference w:id="4"/>
      </w:r>
      <w:r>
        <w:rPr>
          <w:rFonts w:cs="Calibri"/>
          <w:bCs/>
          <w:i/>
          <w:iCs/>
          <w:lang w:eastAsia="fr-FR" w:bidi="he-IL"/>
        </w:rPr>
        <w:t xml:space="preserve"> </w:t>
      </w:r>
      <w:r>
        <w:rPr>
          <w:rFonts w:cs="Calibri"/>
          <w:bCs/>
          <w:lang w:eastAsia="fr-FR" w:bidi="he-IL"/>
        </w:rPr>
        <w:t xml:space="preserve">Dit </w:t>
      </w:r>
      <w:r w:rsidRPr="00167A7B">
        <w:rPr>
          <w:rFonts w:cs="Calibri"/>
          <w:bCs/>
          <w:lang w:eastAsia="fr-FR" w:bidi="he-IL"/>
        </w:rPr>
        <w:t>wegens enerzijds een schending van het recht van verdediging, en anderzijds wegens het niet kunnen bepalen van de saisine van de rechter</w:t>
      </w:r>
      <w:r>
        <w:rPr>
          <w:rFonts w:cs="Calibri"/>
          <w:bCs/>
          <w:lang w:eastAsia="fr-FR" w:bidi="he-IL"/>
        </w:rPr>
        <w:t>.</w:t>
      </w:r>
      <w:r>
        <w:rPr>
          <w:rStyle w:val="Voetnootmarkering"/>
          <w:rFonts w:cs="Calibri"/>
          <w:bCs/>
          <w:lang w:eastAsia="fr-FR" w:bidi="he-IL"/>
        </w:rPr>
        <w:footnoteReference w:id="5"/>
      </w:r>
    </w:p>
    <w:p w14:paraId="5A7395A0" w14:textId="77777777" w:rsidR="00F551D2" w:rsidRDefault="00F551D2" w:rsidP="00F551D2">
      <w:pPr>
        <w:tabs>
          <w:tab w:val="left" w:pos="567"/>
          <w:tab w:val="right" w:pos="9072"/>
        </w:tabs>
        <w:spacing w:after="0" w:line="240" w:lineRule="auto"/>
        <w:jc w:val="both"/>
        <w:rPr>
          <w:rFonts w:cs="Calibri"/>
          <w:bCs/>
          <w:i/>
          <w:iCs/>
          <w:lang w:eastAsia="fr-FR" w:bidi="he-IL"/>
        </w:rPr>
      </w:pPr>
    </w:p>
    <w:p w14:paraId="17654412" w14:textId="70B916B3" w:rsidR="00F551D2" w:rsidRDefault="00A85BBB" w:rsidP="00F551D2">
      <w:pPr>
        <w:tabs>
          <w:tab w:val="left" w:pos="567"/>
          <w:tab w:val="right" w:pos="9072"/>
        </w:tabs>
        <w:spacing w:after="0" w:line="240" w:lineRule="auto"/>
        <w:jc w:val="both"/>
        <w:rPr>
          <w:rFonts w:cs="Calibri"/>
          <w:bCs/>
          <w:lang w:eastAsia="fr-FR" w:bidi="he-IL"/>
        </w:rPr>
      </w:pPr>
      <w:r>
        <w:rPr>
          <w:rFonts w:cs="Calibri"/>
          <w:bCs/>
          <w:lang w:eastAsia="fr-FR" w:bidi="he-IL"/>
        </w:rPr>
        <w:t>Op basis van de huidige dagvaarding is het</w:t>
      </w:r>
      <w:r w:rsidR="00F551D2">
        <w:rPr>
          <w:rFonts w:cs="Calibri"/>
          <w:bCs/>
          <w:lang w:eastAsia="fr-FR" w:bidi="he-IL"/>
        </w:rPr>
        <w:t xml:space="preserve"> niet mogelijk om volledige duidelijkheid te verkrijgen </w:t>
      </w:r>
      <w:r>
        <w:rPr>
          <w:rFonts w:cs="Calibri"/>
          <w:bCs/>
          <w:lang w:eastAsia="fr-FR" w:bidi="he-IL"/>
        </w:rPr>
        <w:t>met betrekking tot</w:t>
      </w:r>
      <w:r w:rsidR="00F551D2">
        <w:rPr>
          <w:rFonts w:cs="Calibri"/>
          <w:bCs/>
          <w:lang w:eastAsia="fr-FR" w:bidi="he-IL"/>
        </w:rPr>
        <w:t xml:space="preserve"> welke feiten concluant zich moet verdedigen</w:t>
      </w:r>
      <w:r>
        <w:rPr>
          <w:rFonts w:cs="Calibri"/>
          <w:bCs/>
          <w:lang w:eastAsia="fr-FR" w:bidi="he-IL"/>
        </w:rPr>
        <w:t>, evenmin het samenlezen van de dagvaarding e</w:t>
      </w:r>
      <w:r w:rsidR="00F551D2">
        <w:rPr>
          <w:rFonts w:cs="Calibri"/>
          <w:bCs/>
          <w:lang w:eastAsia="fr-FR" w:bidi="he-IL"/>
        </w:rPr>
        <w:t>n het voorliggende strafdossier</w:t>
      </w:r>
      <w:r>
        <w:rPr>
          <w:rFonts w:cs="Calibri"/>
          <w:bCs/>
          <w:lang w:eastAsia="fr-FR" w:bidi="he-IL"/>
        </w:rPr>
        <w:t xml:space="preserve"> brengt soelaas. </w:t>
      </w:r>
    </w:p>
    <w:p w14:paraId="22F11E36" w14:textId="77777777" w:rsidR="00F551D2" w:rsidRDefault="00F551D2" w:rsidP="00F551D2">
      <w:pPr>
        <w:tabs>
          <w:tab w:val="left" w:pos="567"/>
          <w:tab w:val="right" w:pos="9072"/>
        </w:tabs>
        <w:spacing w:after="0" w:line="240" w:lineRule="auto"/>
        <w:jc w:val="both"/>
        <w:rPr>
          <w:rFonts w:cs="Calibri"/>
          <w:bCs/>
          <w:lang w:eastAsia="fr-FR" w:bidi="he-IL"/>
        </w:rPr>
      </w:pPr>
    </w:p>
    <w:p w14:paraId="3B336909" w14:textId="07A8C445" w:rsidR="00F551D2" w:rsidRDefault="00F551D2" w:rsidP="00F551D2">
      <w:pPr>
        <w:tabs>
          <w:tab w:val="left" w:pos="567"/>
          <w:tab w:val="right" w:pos="9072"/>
        </w:tabs>
        <w:spacing w:after="0" w:line="240" w:lineRule="auto"/>
        <w:jc w:val="both"/>
        <w:rPr>
          <w:rFonts w:cs="Calibri"/>
          <w:bCs/>
          <w:lang w:eastAsia="fr-FR" w:bidi="he-IL"/>
        </w:rPr>
      </w:pPr>
      <w:r>
        <w:rPr>
          <w:rFonts w:cs="Calibri"/>
          <w:bCs/>
          <w:lang w:eastAsia="fr-FR" w:bidi="he-IL"/>
        </w:rPr>
        <w:t xml:space="preserve">Ter eerbiediging van het recht van verdediging is het aldus passend de onontvankelijkheid van de dagvaarding </w:t>
      </w:r>
      <w:proofErr w:type="spellStart"/>
      <w:r>
        <w:rPr>
          <w:rFonts w:cs="Calibri"/>
          <w:bCs/>
          <w:lang w:eastAsia="fr-FR" w:bidi="he-IL"/>
        </w:rPr>
        <w:t>lastens</w:t>
      </w:r>
      <w:proofErr w:type="spellEnd"/>
      <w:r>
        <w:rPr>
          <w:rFonts w:cs="Calibri"/>
          <w:bCs/>
          <w:lang w:eastAsia="fr-FR" w:bidi="he-IL"/>
        </w:rPr>
        <w:t xml:space="preserve"> concluant vast te stellen.</w:t>
      </w:r>
    </w:p>
    <w:p w14:paraId="3E5144A1" w14:textId="77777777" w:rsidR="00F551D2" w:rsidRPr="00FF4BF7" w:rsidRDefault="00F551D2" w:rsidP="00F551D2"/>
    <w:p w14:paraId="10B7EF24" w14:textId="4EC29D78" w:rsidR="00F551D2" w:rsidRPr="00F551D2" w:rsidRDefault="00F551D2" w:rsidP="00F551D2">
      <w:pPr>
        <w:pStyle w:val="ProcedureTekst"/>
        <w:jc w:val="both"/>
        <w:rPr>
          <w:rFonts w:ascii="Calibri" w:hAnsi="Calibri" w:cs="Calibri"/>
          <w:bCs/>
          <w:sz w:val="22"/>
          <w:szCs w:val="22"/>
        </w:rPr>
      </w:pPr>
    </w:p>
    <w:p w14:paraId="7F947B18" w14:textId="77777777" w:rsidR="0098090F" w:rsidRPr="001D55D9" w:rsidRDefault="0098090F" w:rsidP="0098090F">
      <w:pPr>
        <w:pStyle w:val="ProcedureTekst"/>
        <w:ind w:left="1996"/>
        <w:rPr>
          <w:rFonts w:ascii="Calibri" w:hAnsi="Calibri" w:cs="Calibri"/>
          <w:sz w:val="22"/>
          <w:szCs w:val="22"/>
        </w:rPr>
      </w:pPr>
    </w:p>
    <w:p w14:paraId="1ED8FCE7" w14:textId="056ADDB3" w:rsidR="0098090F" w:rsidRDefault="0098090F" w:rsidP="0098090F"/>
    <w:p w14:paraId="63580AFE" w14:textId="77777777" w:rsidR="0098090F" w:rsidRPr="004F32E7" w:rsidRDefault="0098090F" w:rsidP="0098090F">
      <w:pPr>
        <w:rPr>
          <w:rFonts w:cs="Calibri"/>
          <w:b/>
          <w:sz w:val="28"/>
          <w:szCs w:val="28"/>
        </w:rPr>
      </w:pPr>
      <w:r w:rsidRPr="004F32E7">
        <w:rPr>
          <w:rFonts w:cs="Calibri"/>
          <w:b/>
          <w:sz w:val="28"/>
          <w:szCs w:val="28"/>
        </w:rPr>
        <w:t>OM DEZE REDENEN ,</w:t>
      </w:r>
    </w:p>
    <w:p w14:paraId="43AA91CF" w14:textId="77777777" w:rsidR="0098090F" w:rsidRPr="001D55D9" w:rsidRDefault="0098090F" w:rsidP="0098090F">
      <w:pPr>
        <w:rPr>
          <w:rFonts w:cs="Calibri"/>
          <w:b/>
          <w:sz w:val="28"/>
          <w:szCs w:val="28"/>
        </w:rPr>
      </w:pPr>
      <w:r w:rsidRPr="001D55D9">
        <w:rPr>
          <w:rFonts w:cs="Calibri"/>
          <w:b/>
          <w:sz w:val="28"/>
          <w:szCs w:val="28"/>
        </w:rPr>
        <w:t>En alle andere te doen gelden in de loop van het geding,</w:t>
      </w:r>
    </w:p>
    <w:p w14:paraId="01A87C62" w14:textId="77777777" w:rsidR="0098090F" w:rsidRPr="001D55D9" w:rsidRDefault="0098090F" w:rsidP="0098090F">
      <w:pPr>
        <w:rPr>
          <w:rFonts w:cs="Calibri"/>
          <w:b/>
          <w:sz w:val="28"/>
          <w:szCs w:val="28"/>
        </w:rPr>
      </w:pPr>
    </w:p>
    <w:p w14:paraId="37B86856" w14:textId="77777777" w:rsidR="0098090F" w:rsidRPr="001D55D9" w:rsidRDefault="0098090F" w:rsidP="0098090F">
      <w:pPr>
        <w:rPr>
          <w:rFonts w:cs="Calibri"/>
          <w:b/>
          <w:sz w:val="28"/>
          <w:szCs w:val="28"/>
        </w:rPr>
      </w:pPr>
      <w:r w:rsidRPr="001D55D9">
        <w:rPr>
          <w:rFonts w:cs="Calibri"/>
          <w:b/>
          <w:sz w:val="28"/>
          <w:szCs w:val="28"/>
        </w:rPr>
        <w:t>BEHAGE HET DE RECHTBANK,</w:t>
      </w:r>
    </w:p>
    <w:p w14:paraId="384E93DB" w14:textId="168E9E79" w:rsidR="00A85BBB" w:rsidRDefault="00A85BBB" w:rsidP="0098090F">
      <w:pPr>
        <w:rPr>
          <w:rFonts w:cs="Calibri"/>
          <w:sz w:val="24"/>
          <w:szCs w:val="24"/>
        </w:rPr>
      </w:pPr>
      <w:r>
        <w:rPr>
          <w:rFonts w:cs="Calibri"/>
          <w:sz w:val="24"/>
          <w:szCs w:val="24"/>
        </w:rPr>
        <w:t xml:space="preserve">De dagvaarding onontvankelijk te verklaren gelet op </w:t>
      </w:r>
      <w:proofErr w:type="spellStart"/>
      <w:r>
        <w:rPr>
          <w:rFonts w:cs="Calibri"/>
          <w:sz w:val="24"/>
          <w:szCs w:val="24"/>
        </w:rPr>
        <w:t>obscuri</w:t>
      </w:r>
      <w:proofErr w:type="spellEnd"/>
      <w:r>
        <w:rPr>
          <w:rFonts w:cs="Calibri"/>
          <w:sz w:val="24"/>
          <w:szCs w:val="24"/>
        </w:rPr>
        <w:t xml:space="preserve"> </w:t>
      </w:r>
      <w:proofErr w:type="spellStart"/>
      <w:r>
        <w:rPr>
          <w:rFonts w:cs="Calibri"/>
          <w:sz w:val="24"/>
          <w:szCs w:val="24"/>
        </w:rPr>
        <w:t>libelli</w:t>
      </w:r>
      <w:proofErr w:type="spellEnd"/>
      <w:r>
        <w:rPr>
          <w:rFonts w:cs="Calibri"/>
          <w:sz w:val="24"/>
          <w:szCs w:val="24"/>
        </w:rPr>
        <w:t xml:space="preserve">. </w:t>
      </w:r>
    </w:p>
    <w:p w14:paraId="7323CB6D" w14:textId="77777777" w:rsidR="0098090F" w:rsidRDefault="0098090F" w:rsidP="0098090F">
      <w:pPr>
        <w:rPr>
          <w:rFonts w:cs="Calibri"/>
          <w:sz w:val="24"/>
          <w:szCs w:val="24"/>
        </w:rPr>
      </w:pPr>
    </w:p>
    <w:p w14:paraId="4D4F4AC1" w14:textId="7B07BE7D" w:rsidR="0098090F" w:rsidRPr="004F32E7" w:rsidRDefault="0098090F" w:rsidP="0098090F">
      <w:pPr>
        <w:rPr>
          <w:rFonts w:cs="Calibri"/>
          <w:sz w:val="24"/>
          <w:szCs w:val="24"/>
        </w:rPr>
      </w:pPr>
      <w:r w:rsidRPr="004F32E7">
        <w:rPr>
          <w:rFonts w:cs="Calibri"/>
          <w:sz w:val="24"/>
          <w:szCs w:val="24"/>
        </w:rPr>
        <w:t>Met de meeste eerbied,</w:t>
      </w:r>
    </w:p>
    <w:p w14:paraId="75F3A7A6" w14:textId="77777777" w:rsidR="0098090F" w:rsidRPr="004F32E7" w:rsidRDefault="0098090F" w:rsidP="0098090F">
      <w:pPr>
        <w:rPr>
          <w:rFonts w:cs="Calibri"/>
          <w:sz w:val="24"/>
          <w:szCs w:val="24"/>
        </w:rPr>
      </w:pPr>
    </w:p>
    <w:p w14:paraId="1F738DD5" w14:textId="4E8883F6" w:rsidR="0098090F" w:rsidRPr="00771AF6" w:rsidRDefault="0098090F" w:rsidP="0098090F">
      <w:pPr>
        <w:rPr>
          <w:rFonts w:asciiTheme="minorHAnsi" w:hAnsiTheme="minorHAnsi" w:cstheme="minorHAnsi"/>
          <w:sz w:val="24"/>
          <w:szCs w:val="24"/>
        </w:rPr>
      </w:pPr>
      <w:r w:rsidRPr="004F32E7">
        <w:rPr>
          <w:rFonts w:cs="Calibri"/>
          <w:sz w:val="24"/>
          <w:szCs w:val="24"/>
        </w:rPr>
        <w:t xml:space="preserve">Antwerpen, </w:t>
      </w:r>
      <w:r w:rsidR="00771AF6" w:rsidRPr="00771AF6">
        <w:rPr>
          <w:rFonts w:asciiTheme="minorHAnsi" w:hAnsiTheme="minorHAnsi" w:cstheme="minorHAnsi"/>
          <w:noProof/>
          <w:sz w:val="24"/>
          <w:szCs w:val="24"/>
        </w:rPr>
        <w:t>14 februari 2024</w:t>
      </w:r>
      <w:r w:rsidRPr="00771AF6">
        <w:rPr>
          <w:rFonts w:asciiTheme="minorHAnsi" w:hAnsiTheme="minorHAnsi" w:cstheme="minorHAnsi"/>
          <w:sz w:val="24"/>
          <w:szCs w:val="24"/>
        </w:rPr>
        <w:t>,</w:t>
      </w:r>
    </w:p>
    <w:p w14:paraId="2F14E80A" w14:textId="77777777" w:rsidR="0098090F" w:rsidRPr="001D55D9" w:rsidRDefault="0098090F" w:rsidP="0098090F">
      <w:pPr>
        <w:rPr>
          <w:rFonts w:cs="Calibri"/>
          <w:sz w:val="24"/>
          <w:szCs w:val="24"/>
        </w:rPr>
      </w:pPr>
    </w:p>
    <w:p w14:paraId="5016A24C" w14:textId="77777777" w:rsidR="0098090F" w:rsidRPr="001D55D9" w:rsidRDefault="0098090F" w:rsidP="0098090F">
      <w:pPr>
        <w:rPr>
          <w:rFonts w:cs="Calibri"/>
          <w:sz w:val="24"/>
          <w:szCs w:val="24"/>
        </w:rPr>
      </w:pPr>
      <w:r w:rsidRPr="001D55D9">
        <w:rPr>
          <w:rFonts w:cs="Calibri"/>
          <w:sz w:val="24"/>
          <w:szCs w:val="24"/>
        </w:rPr>
        <w:t>Voor concluant,</w:t>
      </w:r>
    </w:p>
    <w:p w14:paraId="0F5D0F36" w14:textId="77777777" w:rsidR="0098090F" w:rsidRPr="001D55D9" w:rsidRDefault="0098090F" w:rsidP="0098090F">
      <w:pPr>
        <w:rPr>
          <w:rFonts w:cs="Calibri"/>
          <w:sz w:val="24"/>
          <w:szCs w:val="24"/>
        </w:rPr>
      </w:pPr>
    </w:p>
    <w:p w14:paraId="001D36AE" w14:textId="77777777" w:rsidR="0098090F" w:rsidRPr="001D55D9" w:rsidRDefault="0098090F" w:rsidP="0098090F">
      <w:pPr>
        <w:rPr>
          <w:rFonts w:cs="Calibri"/>
          <w:sz w:val="24"/>
          <w:szCs w:val="24"/>
        </w:rPr>
      </w:pPr>
      <w:r w:rsidRPr="001D55D9">
        <w:rPr>
          <w:rFonts w:cs="Calibri"/>
          <w:sz w:val="24"/>
          <w:szCs w:val="24"/>
        </w:rPr>
        <w:t>Zijn advocaat,</w:t>
      </w:r>
    </w:p>
    <w:p w14:paraId="7BC75D31" w14:textId="77777777" w:rsidR="0098090F" w:rsidRPr="001D55D9" w:rsidRDefault="0098090F" w:rsidP="0098090F">
      <w:pPr>
        <w:rPr>
          <w:rFonts w:cs="Calibri"/>
          <w:sz w:val="24"/>
          <w:szCs w:val="24"/>
        </w:rPr>
      </w:pPr>
    </w:p>
    <w:p w14:paraId="2A4F128C" w14:textId="77777777" w:rsidR="0098090F" w:rsidRPr="001D55D9" w:rsidRDefault="0098090F" w:rsidP="0098090F">
      <w:pPr>
        <w:rPr>
          <w:rFonts w:cs="Calibri"/>
          <w:sz w:val="24"/>
          <w:szCs w:val="24"/>
        </w:rPr>
      </w:pPr>
    </w:p>
    <w:p w14:paraId="36873C62" w14:textId="50C77723" w:rsidR="0098090F" w:rsidRDefault="0098090F" w:rsidP="0098090F">
      <w:pPr>
        <w:rPr>
          <w:rFonts w:ascii="Verdana" w:hAnsi="Verdana"/>
          <w:sz w:val="24"/>
          <w:szCs w:val="24"/>
        </w:rPr>
      </w:pPr>
      <w:r w:rsidRPr="001D55D9">
        <w:rPr>
          <w:rFonts w:cs="Calibri"/>
          <w:sz w:val="24"/>
          <w:szCs w:val="24"/>
        </w:rPr>
        <w:t>Len AUGUSTYNS</w:t>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p>
    <w:p w14:paraId="7D2445ED" w14:textId="5EC3F430" w:rsidR="0098090F" w:rsidRDefault="0098090F" w:rsidP="0098090F">
      <w:pPr>
        <w:rPr>
          <w:rFonts w:cs="Calibri"/>
          <w:sz w:val="24"/>
          <w:szCs w:val="24"/>
        </w:rPr>
      </w:pPr>
    </w:p>
    <w:p w14:paraId="1E7BB293" w14:textId="0A7E82C7" w:rsidR="0098090F" w:rsidRDefault="0098090F" w:rsidP="0098090F">
      <w:pPr>
        <w:rPr>
          <w:rFonts w:cs="Calibri"/>
          <w:sz w:val="24"/>
          <w:szCs w:val="24"/>
        </w:rPr>
      </w:pPr>
    </w:p>
    <w:p w14:paraId="326BC9CF" w14:textId="77777777" w:rsidR="0098090F" w:rsidRPr="001D55D9" w:rsidRDefault="0098090F" w:rsidP="0098090F">
      <w:pPr>
        <w:rPr>
          <w:rFonts w:cs="Calibri"/>
          <w:sz w:val="24"/>
          <w:szCs w:val="24"/>
        </w:rPr>
      </w:pPr>
    </w:p>
    <w:p w14:paraId="0620AD2E" w14:textId="022669E3" w:rsidR="0011059E" w:rsidRDefault="0098090F">
      <w:r w:rsidRPr="001D55D9">
        <w:rPr>
          <w:rFonts w:cs="Calibri"/>
          <w:b/>
          <w:sz w:val="24"/>
          <w:szCs w:val="24"/>
          <w:u w:val="single"/>
        </w:rPr>
        <w:t>Inventaris der Overtuigingsstukken:</w:t>
      </w:r>
    </w:p>
    <w:sectPr w:rsidR="001105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2333" w14:textId="77777777" w:rsidR="00542D3A" w:rsidRDefault="00542D3A" w:rsidP="00771AF6">
      <w:pPr>
        <w:spacing w:after="0" w:line="240" w:lineRule="auto"/>
      </w:pPr>
      <w:r>
        <w:separator/>
      </w:r>
    </w:p>
  </w:endnote>
  <w:endnote w:type="continuationSeparator" w:id="0">
    <w:p w14:paraId="49395148" w14:textId="77777777" w:rsidR="00542D3A" w:rsidRDefault="00542D3A" w:rsidP="0077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8B8A" w14:textId="77777777" w:rsidR="00542D3A" w:rsidRDefault="00542D3A" w:rsidP="00771AF6">
      <w:pPr>
        <w:spacing w:after="0" w:line="240" w:lineRule="auto"/>
      </w:pPr>
      <w:r>
        <w:separator/>
      </w:r>
    </w:p>
  </w:footnote>
  <w:footnote w:type="continuationSeparator" w:id="0">
    <w:p w14:paraId="27513C6B" w14:textId="77777777" w:rsidR="00542D3A" w:rsidRDefault="00542D3A" w:rsidP="00771AF6">
      <w:pPr>
        <w:spacing w:after="0" w:line="240" w:lineRule="auto"/>
      </w:pPr>
      <w:r>
        <w:continuationSeparator/>
      </w:r>
    </w:p>
  </w:footnote>
  <w:footnote w:id="1">
    <w:p w14:paraId="302C5F6E" w14:textId="77777777" w:rsidR="00F551D2" w:rsidRDefault="00F551D2" w:rsidP="00F551D2">
      <w:pPr>
        <w:pStyle w:val="Voetnoottekst"/>
      </w:pPr>
      <w:r>
        <w:rPr>
          <w:rStyle w:val="Voetnootmarkering"/>
        </w:rPr>
        <w:footnoteRef/>
      </w:r>
      <w:r>
        <w:t xml:space="preserve"> C</w:t>
      </w:r>
      <w:r w:rsidRPr="00167A7B">
        <w:rPr>
          <w:rFonts w:cs="Calibri"/>
          <w:bCs/>
          <w:lang w:eastAsia="fr-FR" w:bidi="he-IL"/>
        </w:rPr>
        <w:t xml:space="preserve">f. R. VERSTRAETEN, Handboek strafvordering, </w:t>
      </w:r>
      <w:proofErr w:type="spellStart"/>
      <w:r w:rsidRPr="00167A7B">
        <w:rPr>
          <w:rFonts w:cs="Calibri"/>
          <w:bCs/>
          <w:lang w:eastAsia="fr-FR" w:bidi="he-IL"/>
        </w:rPr>
        <w:t>Antwerpen,Maklu</w:t>
      </w:r>
      <w:proofErr w:type="spellEnd"/>
      <w:r w:rsidRPr="00167A7B">
        <w:rPr>
          <w:rFonts w:cs="Calibri"/>
          <w:bCs/>
          <w:lang w:eastAsia="fr-FR" w:bidi="he-IL"/>
        </w:rPr>
        <w:t>, 1999, p. 571</w:t>
      </w:r>
      <w:r>
        <w:rPr>
          <w:rFonts w:cs="Calibri"/>
          <w:bCs/>
          <w:lang w:eastAsia="fr-FR" w:bidi="he-IL"/>
        </w:rPr>
        <w:t>.</w:t>
      </w:r>
    </w:p>
  </w:footnote>
  <w:footnote w:id="2">
    <w:p w14:paraId="3155C59F" w14:textId="77777777" w:rsidR="00F551D2" w:rsidRPr="00167A7B" w:rsidRDefault="00F551D2" w:rsidP="00F551D2">
      <w:pPr>
        <w:pStyle w:val="Voetnoottekst"/>
        <w:rPr>
          <w:lang w:val="en-GB"/>
        </w:rPr>
      </w:pPr>
      <w:r>
        <w:rPr>
          <w:rStyle w:val="Voetnootmarkering"/>
        </w:rPr>
        <w:footnoteRef/>
      </w:r>
      <w:r w:rsidRPr="00167A7B">
        <w:rPr>
          <w:lang w:val="en-GB"/>
        </w:rPr>
        <w:t xml:space="preserve"> </w:t>
      </w:r>
      <w:r>
        <w:rPr>
          <w:rFonts w:cs="Calibri"/>
          <w:bCs/>
          <w:lang w:val="en-GB" w:eastAsia="fr-FR" w:bidi="he-IL"/>
        </w:rPr>
        <w:t>C</w:t>
      </w:r>
      <w:r w:rsidRPr="00167A7B">
        <w:rPr>
          <w:rFonts w:cs="Calibri"/>
          <w:bCs/>
          <w:lang w:val="en-GB" w:eastAsia="fr-FR" w:bidi="he-IL"/>
        </w:rPr>
        <w:t xml:space="preserve">f. Cass. 5 </w:t>
      </w:r>
      <w:proofErr w:type="spellStart"/>
      <w:r w:rsidRPr="00167A7B">
        <w:rPr>
          <w:rFonts w:cs="Calibri"/>
          <w:bCs/>
          <w:lang w:val="en-GB" w:eastAsia="fr-FR" w:bidi="he-IL"/>
        </w:rPr>
        <w:t>januari</w:t>
      </w:r>
      <w:proofErr w:type="spellEnd"/>
      <w:r w:rsidRPr="00167A7B">
        <w:rPr>
          <w:rFonts w:cs="Calibri"/>
          <w:bCs/>
          <w:lang w:val="en-GB" w:eastAsia="fr-FR" w:bidi="he-IL"/>
        </w:rPr>
        <w:t xml:space="preserve"> 1988, Arr.Cass. 1987-88, nr. 268.</w:t>
      </w:r>
    </w:p>
  </w:footnote>
  <w:footnote w:id="3">
    <w:p w14:paraId="428B2341" w14:textId="77777777" w:rsidR="00F551D2" w:rsidRPr="00167A7B" w:rsidRDefault="00F551D2" w:rsidP="00F551D2">
      <w:pPr>
        <w:pStyle w:val="Voetnoottekst"/>
        <w:rPr>
          <w:lang w:val="en-GB"/>
        </w:rPr>
      </w:pPr>
      <w:r>
        <w:rPr>
          <w:rStyle w:val="Voetnootmarkering"/>
        </w:rPr>
        <w:footnoteRef/>
      </w:r>
      <w:r w:rsidRPr="00167A7B">
        <w:rPr>
          <w:lang w:val="en-GB"/>
        </w:rPr>
        <w:t xml:space="preserve"> </w:t>
      </w:r>
      <w:r>
        <w:rPr>
          <w:rFonts w:cs="Calibri"/>
          <w:bCs/>
          <w:lang w:val="en-GB" w:eastAsia="fr-FR" w:bidi="he-IL"/>
        </w:rPr>
        <w:t>C</w:t>
      </w:r>
      <w:r w:rsidRPr="00167A7B">
        <w:rPr>
          <w:rFonts w:cs="Calibri"/>
          <w:bCs/>
          <w:lang w:val="en-GB" w:eastAsia="fr-FR" w:bidi="he-IL"/>
        </w:rPr>
        <w:t xml:space="preserve">f. Cass. 18 </w:t>
      </w:r>
      <w:proofErr w:type="spellStart"/>
      <w:r w:rsidRPr="00167A7B">
        <w:rPr>
          <w:rFonts w:cs="Calibri"/>
          <w:bCs/>
          <w:lang w:val="en-GB" w:eastAsia="fr-FR" w:bidi="he-IL"/>
        </w:rPr>
        <w:t>december</w:t>
      </w:r>
      <w:proofErr w:type="spellEnd"/>
      <w:r w:rsidRPr="00167A7B">
        <w:rPr>
          <w:rFonts w:cs="Calibri"/>
          <w:bCs/>
          <w:lang w:val="en-GB" w:eastAsia="fr-FR" w:bidi="he-IL"/>
        </w:rPr>
        <w:t xml:space="preserve"> 1984, Arr.Cass. 1984-85, nr. 244.</w:t>
      </w:r>
    </w:p>
  </w:footnote>
  <w:footnote w:id="4">
    <w:p w14:paraId="6ED43AD2" w14:textId="77777777" w:rsidR="00F551D2" w:rsidRPr="001205DD" w:rsidRDefault="00F551D2" w:rsidP="00F551D2">
      <w:pPr>
        <w:pStyle w:val="Voetnoottekst"/>
      </w:pPr>
      <w:r>
        <w:rPr>
          <w:rStyle w:val="Voetnootmarkering"/>
        </w:rPr>
        <w:footnoteRef/>
      </w:r>
      <w:r>
        <w:t xml:space="preserve"> Y. VAN DEN BERGE, “Niet elk gebrek aan precisering in dagvaarding leidt tot onontvankelijkheid strafvordering”, </w:t>
      </w:r>
      <w:proofErr w:type="spellStart"/>
      <w:r>
        <w:rPr>
          <w:i/>
          <w:iCs/>
        </w:rPr>
        <w:t>T.Strafr</w:t>
      </w:r>
      <w:proofErr w:type="spellEnd"/>
      <w:r>
        <w:rPr>
          <w:i/>
          <w:iCs/>
        </w:rPr>
        <w:t xml:space="preserve">. </w:t>
      </w:r>
      <w:r>
        <w:t>2011, 352.</w:t>
      </w:r>
    </w:p>
  </w:footnote>
  <w:footnote w:id="5">
    <w:p w14:paraId="5EE16BB2" w14:textId="77777777" w:rsidR="00F551D2" w:rsidRDefault="00F551D2" w:rsidP="00F551D2">
      <w:pPr>
        <w:pStyle w:val="Voetnoottekst"/>
      </w:pPr>
      <w:r>
        <w:rPr>
          <w:rStyle w:val="Voetnootmarkering"/>
        </w:rPr>
        <w:footnoteRef/>
      </w:r>
      <w:r>
        <w:t xml:space="preserve"> </w:t>
      </w:r>
      <w:r w:rsidRPr="00167A7B">
        <w:rPr>
          <w:rFonts w:cs="Calibri"/>
          <w:bCs/>
          <w:lang w:eastAsia="fr-FR" w:bidi="he-IL"/>
        </w:rPr>
        <w:t>Antwerpen, 28 april 2010, R.W. 2010-2011, p.497.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F9E2" w14:textId="770A4D33" w:rsidR="00771AF6" w:rsidRPr="00771AF6" w:rsidRDefault="00771AF6" w:rsidP="00771AF6">
    <w:pPr>
      <w:rPr>
        <w:rFonts w:ascii="Verdana"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6F6"/>
    <w:multiLevelType w:val="hybridMultilevel"/>
    <w:tmpl w:val="D9DC5C18"/>
    <w:lvl w:ilvl="0" w:tplc="044C2B42">
      <w:start w:val="1"/>
      <w:numFmt w:val="decimal"/>
      <w:lvlText w:val="%1)"/>
      <w:lvlJc w:val="left"/>
      <w:pPr>
        <w:ind w:left="2356" w:hanging="360"/>
      </w:pPr>
      <w:rPr>
        <w:rFonts w:hint="default"/>
      </w:rPr>
    </w:lvl>
    <w:lvl w:ilvl="1" w:tplc="08130019" w:tentative="1">
      <w:start w:val="1"/>
      <w:numFmt w:val="lowerLetter"/>
      <w:lvlText w:val="%2."/>
      <w:lvlJc w:val="left"/>
      <w:pPr>
        <w:ind w:left="3076" w:hanging="360"/>
      </w:pPr>
    </w:lvl>
    <w:lvl w:ilvl="2" w:tplc="0813001B" w:tentative="1">
      <w:start w:val="1"/>
      <w:numFmt w:val="lowerRoman"/>
      <w:lvlText w:val="%3."/>
      <w:lvlJc w:val="right"/>
      <w:pPr>
        <w:ind w:left="3796" w:hanging="180"/>
      </w:pPr>
    </w:lvl>
    <w:lvl w:ilvl="3" w:tplc="0813000F" w:tentative="1">
      <w:start w:val="1"/>
      <w:numFmt w:val="decimal"/>
      <w:lvlText w:val="%4."/>
      <w:lvlJc w:val="left"/>
      <w:pPr>
        <w:ind w:left="4516" w:hanging="360"/>
      </w:pPr>
    </w:lvl>
    <w:lvl w:ilvl="4" w:tplc="08130019" w:tentative="1">
      <w:start w:val="1"/>
      <w:numFmt w:val="lowerLetter"/>
      <w:lvlText w:val="%5."/>
      <w:lvlJc w:val="left"/>
      <w:pPr>
        <w:ind w:left="5236" w:hanging="360"/>
      </w:pPr>
    </w:lvl>
    <w:lvl w:ilvl="5" w:tplc="0813001B" w:tentative="1">
      <w:start w:val="1"/>
      <w:numFmt w:val="lowerRoman"/>
      <w:lvlText w:val="%6."/>
      <w:lvlJc w:val="right"/>
      <w:pPr>
        <w:ind w:left="5956" w:hanging="180"/>
      </w:pPr>
    </w:lvl>
    <w:lvl w:ilvl="6" w:tplc="0813000F" w:tentative="1">
      <w:start w:val="1"/>
      <w:numFmt w:val="decimal"/>
      <w:lvlText w:val="%7."/>
      <w:lvlJc w:val="left"/>
      <w:pPr>
        <w:ind w:left="6676" w:hanging="360"/>
      </w:pPr>
    </w:lvl>
    <w:lvl w:ilvl="7" w:tplc="08130019" w:tentative="1">
      <w:start w:val="1"/>
      <w:numFmt w:val="lowerLetter"/>
      <w:lvlText w:val="%8."/>
      <w:lvlJc w:val="left"/>
      <w:pPr>
        <w:ind w:left="7396" w:hanging="360"/>
      </w:pPr>
    </w:lvl>
    <w:lvl w:ilvl="8" w:tplc="0813001B" w:tentative="1">
      <w:start w:val="1"/>
      <w:numFmt w:val="lowerRoman"/>
      <w:lvlText w:val="%9."/>
      <w:lvlJc w:val="right"/>
      <w:pPr>
        <w:ind w:left="8116" w:hanging="180"/>
      </w:pPr>
    </w:lvl>
  </w:abstractNum>
  <w:abstractNum w:abstractNumId="1" w15:restartNumberingAfterBreak="0">
    <w:nsid w:val="55AA2171"/>
    <w:multiLevelType w:val="hybridMultilevel"/>
    <w:tmpl w:val="3E942EAE"/>
    <w:lvl w:ilvl="0" w:tplc="8BFCB520">
      <w:start w:val="1"/>
      <w:numFmt w:val="upperRoman"/>
      <w:lvlText w:val="%1."/>
      <w:lvlJc w:val="left"/>
      <w:pPr>
        <w:ind w:left="1996"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7629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42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05042D"/>
    <w:rsid w:val="0011059E"/>
    <w:rsid w:val="001B439E"/>
    <w:rsid w:val="00227634"/>
    <w:rsid w:val="0029632B"/>
    <w:rsid w:val="00542D3A"/>
    <w:rsid w:val="005A0715"/>
    <w:rsid w:val="005C7CC8"/>
    <w:rsid w:val="00606595"/>
    <w:rsid w:val="007566F8"/>
    <w:rsid w:val="00771AF6"/>
    <w:rsid w:val="0081618D"/>
    <w:rsid w:val="008B66F8"/>
    <w:rsid w:val="008C128A"/>
    <w:rsid w:val="0098090F"/>
    <w:rsid w:val="00A02FD7"/>
    <w:rsid w:val="00A85BBB"/>
    <w:rsid w:val="00AF4D2D"/>
    <w:rsid w:val="00CE0A20"/>
    <w:rsid w:val="00D5104E"/>
    <w:rsid w:val="00F04EBD"/>
    <w:rsid w:val="00F14900"/>
    <w:rsid w:val="00F551D2"/>
    <w:rsid w:val="00F74D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4E4C"/>
  <w15:chartTrackingRefBased/>
  <w15:docId w15:val="{4084E5FE-63E6-483F-BF2A-A7CB528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90F"/>
    <w:rPr>
      <w:rFonts w:ascii="Calibri" w:eastAsia="Times New Roman" w:hAnsi="Calibri" w:cs="Times New Roman"/>
      <w:lang w:eastAsia="nl-BE"/>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uiPriority w:val="99"/>
    <w:semiHidden/>
    <w:unhideWhenUsed/>
    <w:rsid w:val="0098090F"/>
    <w:pPr>
      <w:spacing w:after="120" w:line="240" w:lineRule="auto"/>
      <w:ind w:left="283"/>
    </w:pPr>
    <w:rPr>
      <w:rFonts w:ascii="Times New Roman" w:hAnsi="Times New Roman"/>
    </w:rPr>
  </w:style>
  <w:style w:type="character" w:customStyle="1" w:styleId="PlattetekstinspringenChar">
    <w:name w:val="Platte tekst inspringen Char"/>
    <w:basedOn w:val="Standaardalinea-lettertype"/>
    <w:link w:val="Plattetekstinspringen"/>
    <w:uiPriority w:val="99"/>
    <w:semiHidden/>
    <w:rsid w:val="0098090F"/>
    <w:rPr>
      <w:rFonts w:ascii="Times New Roman" w:eastAsia="Times New Roman" w:hAnsi="Times New Roman" w:cs="Times New Roman"/>
      <w:lang w:eastAsia="nl-BE"/>
    </w:rPr>
  </w:style>
  <w:style w:type="paragraph" w:customStyle="1" w:styleId="ProcedureTekst">
    <w:name w:val="ProcedureTekst"/>
    <w:basedOn w:val="Standaard"/>
    <w:uiPriority w:val="99"/>
    <w:qFormat/>
    <w:rsid w:val="0098090F"/>
    <w:pPr>
      <w:tabs>
        <w:tab w:val="left" w:pos="567"/>
        <w:tab w:val="right" w:pos="9072"/>
      </w:tabs>
      <w:spacing w:after="0" w:line="240" w:lineRule="auto"/>
    </w:pPr>
    <w:rPr>
      <w:rFonts w:ascii="Trebuchet MS" w:hAnsi="Trebuchet MS"/>
      <w:sz w:val="24"/>
      <w:szCs w:val="20"/>
      <w:lang w:eastAsia="fr-FR" w:bidi="he-IL"/>
    </w:rPr>
  </w:style>
  <w:style w:type="paragraph" w:customStyle="1" w:styleId="ConclusieTitel">
    <w:name w:val="ConclusieTitel"/>
    <w:basedOn w:val="Standaard"/>
    <w:uiPriority w:val="99"/>
    <w:rsid w:val="0098090F"/>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hAnsi="Times New Roman"/>
      <w:b/>
      <w:sz w:val="28"/>
      <w:lang w:val="en-US" w:eastAsia="en-US"/>
    </w:rPr>
  </w:style>
  <w:style w:type="character" w:styleId="Subtielebenadrukking">
    <w:name w:val="Subtle Emphasis"/>
    <w:uiPriority w:val="19"/>
    <w:qFormat/>
    <w:rsid w:val="0098090F"/>
    <w:rPr>
      <w:i/>
      <w:iCs/>
      <w:color w:val="404040"/>
    </w:rPr>
  </w:style>
  <w:style w:type="paragraph" w:styleId="Koptekst">
    <w:name w:val="header"/>
    <w:basedOn w:val="Standaard"/>
    <w:link w:val="KoptekstChar"/>
    <w:uiPriority w:val="99"/>
    <w:unhideWhenUsed/>
    <w:rsid w:val="00771A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AF6"/>
    <w:rPr>
      <w:rFonts w:ascii="Calibri" w:eastAsia="Times New Roman" w:hAnsi="Calibri" w:cs="Times New Roman"/>
      <w:lang w:eastAsia="nl-BE"/>
    </w:rPr>
  </w:style>
  <w:style w:type="paragraph" w:styleId="Voettekst">
    <w:name w:val="footer"/>
    <w:basedOn w:val="Standaard"/>
    <w:link w:val="VoettekstChar"/>
    <w:uiPriority w:val="99"/>
    <w:unhideWhenUsed/>
    <w:rsid w:val="00771A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AF6"/>
    <w:rPr>
      <w:rFonts w:ascii="Calibri" w:eastAsia="Times New Roman" w:hAnsi="Calibri" w:cs="Times New Roman"/>
      <w:lang w:eastAsia="nl-BE"/>
    </w:rPr>
  </w:style>
  <w:style w:type="character" w:styleId="Hyperlink">
    <w:name w:val="Hyperlink"/>
    <w:uiPriority w:val="99"/>
    <w:unhideWhenUsed/>
    <w:rPr>
      <w:color w:val="0563C1" w:themeColor="hyperlink"/>
      <w:u w:val="single"/>
    </w:rPr>
  </w:style>
  <w:style w:type="character" w:styleId="Verwijzingopmerking">
    <w:name w:val="annotation reference"/>
    <w:basedOn w:val="Standaardalinea-lettertype"/>
    <w:uiPriority w:val="99"/>
    <w:semiHidden/>
    <w:unhideWhenUsed/>
    <w:rsid w:val="00F551D2"/>
    <w:rPr>
      <w:sz w:val="16"/>
      <w:szCs w:val="16"/>
    </w:rPr>
  </w:style>
  <w:style w:type="paragraph" w:styleId="Tekstopmerking">
    <w:name w:val="annotation text"/>
    <w:basedOn w:val="Standaard"/>
    <w:link w:val="TekstopmerkingChar"/>
    <w:uiPriority w:val="99"/>
    <w:unhideWhenUsed/>
    <w:rsid w:val="00F551D2"/>
    <w:pPr>
      <w:spacing w:line="240" w:lineRule="auto"/>
    </w:pPr>
    <w:rPr>
      <w:sz w:val="20"/>
      <w:szCs w:val="20"/>
    </w:rPr>
  </w:style>
  <w:style w:type="character" w:customStyle="1" w:styleId="TekstopmerkingChar">
    <w:name w:val="Tekst opmerking Char"/>
    <w:basedOn w:val="Standaardalinea-lettertype"/>
    <w:link w:val="Tekstopmerking"/>
    <w:uiPriority w:val="99"/>
    <w:rsid w:val="00F551D2"/>
    <w:rPr>
      <w:rFonts w:ascii="Calibri" w:eastAsia="Times New Roman" w:hAnsi="Calibri" w:cs="Times New Roman"/>
      <w:sz w:val="20"/>
      <w:szCs w:val="20"/>
      <w:lang w:eastAsia="nl-BE"/>
    </w:rPr>
  </w:style>
  <w:style w:type="paragraph" w:styleId="Voetnoottekst">
    <w:name w:val="footnote text"/>
    <w:basedOn w:val="Standaard"/>
    <w:link w:val="VoetnoottekstChar"/>
    <w:uiPriority w:val="99"/>
    <w:semiHidden/>
    <w:unhideWhenUsed/>
    <w:rsid w:val="00F551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51D2"/>
    <w:rPr>
      <w:rFonts w:ascii="Calibri" w:eastAsia="Times New Roman" w:hAnsi="Calibri" w:cs="Times New Roman"/>
      <w:sz w:val="20"/>
      <w:szCs w:val="20"/>
      <w:lang w:eastAsia="nl-BE"/>
    </w:rPr>
  </w:style>
  <w:style w:type="character" w:styleId="Voetnootmarkering">
    <w:name w:val="footnote reference"/>
    <w:basedOn w:val="Standaardalinea-lettertype"/>
    <w:uiPriority w:val="99"/>
    <w:semiHidden/>
    <w:unhideWhenUsed/>
    <w:rsid w:val="00F55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2</cp:revision>
  <dcterms:created xsi:type="dcterms:W3CDTF">2024-02-14T13:18:00Z</dcterms:created>
  <dcterms:modified xsi:type="dcterms:W3CDTF">2024-02-14T13:18:00Z</dcterms:modified>
</cp:coreProperties>
</file>