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AA70D" w14:textId="4CB68340" w:rsidR="001B439E" w:rsidRPr="008C128A" w:rsidRDefault="0098090F" w:rsidP="001B439E">
      <w:pPr>
        <w:rPr>
          <w:rFonts w:ascii="Verdana" w:hAnsi="Verdana" w:cs="Arial"/>
          <w:sz w:val="10"/>
          <w:szCs w:val="10"/>
        </w:rPr>
      </w:pPr>
      <w:r w:rsidRPr="001D55D9">
        <w:rPr>
          <w:rStyle w:val="Subtielebenadrukking"/>
          <w:iCs w:val="0"/>
          <w:noProof/>
        </w:rPr>
        <w:drawing>
          <wp:inline distT="0" distB="0" distL="0" distR="0" wp14:anchorId="59A6CE0D" wp14:editId="484959B4">
            <wp:extent cx="1045210" cy="1012190"/>
            <wp:effectExtent l="0" t="0" r="254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5210" cy="1012190"/>
                    </a:xfrm>
                    <a:prstGeom prst="rect">
                      <a:avLst/>
                    </a:prstGeom>
                    <a:noFill/>
                    <a:ln>
                      <a:noFill/>
                    </a:ln>
                  </pic:spPr>
                </pic:pic>
              </a:graphicData>
            </a:graphic>
          </wp:inline>
        </w:drawing>
      </w:r>
      <w:r w:rsidRPr="00A0128A">
        <w:rPr>
          <w:rStyle w:val="Subtielebenadrukking"/>
        </w:rPr>
        <w:t xml:space="preserve">                                              </w:t>
      </w:r>
      <w:r w:rsidR="00A02FD7" w:rsidRPr="00A0128A">
        <w:rPr>
          <w:rStyle w:val="Subtielebenadrukking"/>
        </w:rPr>
        <w:t xml:space="preserve"> </w:t>
      </w:r>
      <w:r w:rsidR="00A02FD7">
        <w:rPr>
          <w:rStyle w:val="Subtielebenadrukking"/>
        </w:rPr>
        <w:t xml:space="preserve">   </w:t>
      </w:r>
    </w:p>
    <w:p w14:paraId="6F3BA721" w14:textId="245D5738" w:rsidR="0098090F" w:rsidRPr="00A0128A" w:rsidRDefault="0098090F" w:rsidP="00A02FD7">
      <w:pPr>
        <w:spacing w:line="240" w:lineRule="auto"/>
        <w:jc w:val="right"/>
        <w:rPr>
          <w:rStyle w:val="Subtielebenadrukking"/>
          <w:lang w:eastAsia="nl-NL"/>
        </w:rPr>
      </w:pPr>
      <w:r>
        <w:rPr>
          <w:rStyle w:val="Subtielebenadrukking"/>
        </w:rPr>
        <w:t xml:space="preserve">    </w:t>
      </w:r>
      <w:r w:rsidRPr="00A0128A">
        <w:rPr>
          <w:rStyle w:val="Subtielebenadrukking"/>
        </w:rPr>
        <w:t xml:space="preserve">ADVOCATENKANTOOR </w:t>
      </w:r>
    </w:p>
    <w:p w14:paraId="5E879818" w14:textId="180037D8" w:rsidR="0098090F" w:rsidRPr="00A0128A" w:rsidRDefault="008B66F8" w:rsidP="0098090F">
      <w:pPr>
        <w:ind w:left="-142" w:firstLine="709"/>
        <w:jc w:val="right"/>
        <w:rPr>
          <w:rStyle w:val="Subtielebenadrukking"/>
        </w:rPr>
      </w:pPr>
      <w:r>
        <w:rPr>
          <w:rStyle w:val="Subtielebenadrukking"/>
        </w:rPr>
        <w:t>VOCALEX</w:t>
      </w:r>
    </w:p>
    <w:p w14:paraId="12E2BB58" w14:textId="77777777" w:rsidR="0098090F" w:rsidRPr="00A0128A" w:rsidRDefault="0098090F" w:rsidP="0098090F">
      <w:pPr>
        <w:ind w:left="3545" w:firstLine="709"/>
        <w:jc w:val="right"/>
        <w:rPr>
          <w:rStyle w:val="Subtielebenadrukking"/>
        </w:rPr>
      </w:pPr>
      <w:r w:rsidRPr="00A0128A">
        <w:rPr>
          <w:rStyle w:val="Subtielebenadrukking"/>
        </w:rPr>
        <w:t>0476.68.52.12.</w:t>
      </w:r>
    </w:p>
    <w:p w14:paraId="77DD95BB" w14:textId="77777777" w:rsidR="00F74DB9" w:rsidRDefault="00F74DB9" w:rsidP="00F74DB9">
      <w:pPr>
        <w:pBdr>
          <w:bottom w:val="single" w:sz="6" w:space="1" w:color="auto"/>
        </w:pBdr>
        <w:ind w:left="3545" w:firstLine="709"/>
        <w:jc w:val="right"/>
        <w:rPr>
          <w:sz w:val="26"/>
          <w:szCs w:val="26"/>
          <w:lang w:eastAsia="nl-NL"/>
        </w:rPr>
      </w:pPr>
    </w:p>
    <w:p w14:paraId="0AC61B00" w14:textId="77777777" w:rsidR="00F74DB9" w:rsidRDefault="00F74DB9" w:rsidP="00F74DB9">
      <w:pPr>
        <w:pStyle w:val="ConclusieTitel"/>
        <w:rPr>
          <w:rFonts w:ascii="Verdana" w:hAnsi="Verdana"/>
          <w:sz w:val="22"/>
          <w:lang w:val="nl-BE"/>
        </w:rPr>
      </w:pPr>
    </w:p>
    <w:p w14:paraId="6D069069" w14:textId="77777777" w:rsidR="00F74DB9" w:rsidRDefault="00F74DB9" w:rsidP="00F74DB9">
      <w:pPr>
        <w:pStyle w:val="ConclusieTitel"/>
        <w:rPr>
          <w:rFonts w:ascii="Verdana" w:hAnsi="Verdana"/>
          <w:sz w:val="22"/>
          <w:lang w:val="nl-BE"/>
        </w:rPr>
      </w:pPr>
      <w:r>
        <w:rPr>
          <w:rFonts w:ascii="Verdana" w:hAnsi="Verdana"/>
          <w:sz w:val="22"/>
          <w:lang w:val="nl-BE"/>
        </w:rPr>
        <w:br/>
        <w:t>CONCLUSIE</w:t>
      </w:r>
    </w:p>
    <w:p w14:paraId="0C1D891A" w14:textId="77777777" w:rsidR="0098090F" w:rsidRDefault="0098090F" w:rsidP="00F74DB9">
      <w:pPr>
        <w:pStyle w:val="ConclusieTitel"/>
        <w:jc w:val="left"/>
        <w:rPr>
          <w:rFonts w:ascii="Verdana" w:hAnsi="Verdana"/>
          <w:sz w:val="22"/>
          <w:lang w:val="nl-BE"/>
        </w:rPr>
      </w:pPr>
    </w:p>
    <w:p w14:paraId="64216A82" w14:textId="77777777" w:rsidR="0098090F" w:rsidRDefault="0098090F" w:rsidP="0098090F">
      <w:pPr>
        <w:pStyle w:val="ConclusieTitel"/>
        <w:rPr>
          <w:rFonts w:ascii="Verdana" w:hAnsi="Verdana"/>
          <w:sz w:val="22"/>
          <w:lang w:val="nl-BE"/>
        </w:rPr>
      </w:pPr>
    </w:p>
    <w:p w14:paraId="70FFE2AD" w14:textId="77777777" w:rsidR="0098090F" w:rsidRPr="001D55D9" w:rsidRDefault="0098090F" w:rsidP="0098090F">
      <w:pPr>
        <w:pStyle w:val="Plattetekstinspringen"/>
        <w:ind w:left="0"/>
        <w:jc w:val="both"/>
        <w:rPr>
          <w:rFonts w:ascii="Calibri" w:hAnsi="Calibri" w:cs="Calibri"/>
          <w:sz w:val="24"/>
          <w:szCs w:val="24"/>
        </w:rPr>
      </w:pPr>
    </w:p>
    <w:p w14:paraId="23A804CE" w14:textId="57892051" w:rsidR="0098090F" w:rsidRPr="005C7CC8" w:rsidRDefault="0098090F" w:rsidP="005C7CC8">
      <w:pPr>
        <w:ind w:left="1418" w:hanging="1418"/>
        <w:rPr>
          <w:rFonts w:asciiTheme="minorHAnsi" w:hAnsiTheme="minorHAnsi" w:cstheme="minorHAnsi"/>
          <w:lang w:val="nl-NL" w:bidi="nl-BE"/>
        </w:rPr>
      </w:pPr>
      <w:r w:rsidRPr="001D55D9">
        <w:rPr>
          <w:rFonts w:cs="Calibri"/>
          <w:b/>
          <w:u w:val="single"/>
        </w:rPr>
        <w:t>VOOR:</w:t>
      </w:r>
      <w:r w:rsidRPr="001D55D9">
        <w:rPr>
          <w:rFonts w:cs="Calibri"/>
        </w:rPr>
        <w:tab/>
      </w:r>
      <w:r w:rsidR="00771AF6" w:rsidRPr="00771AF6">
        <w:rPr>
          <w:rFonts w:asciiTheme="minorHAnsi" w:hAnsiTheme="minorHAnsi" w:cstheme="minorHAnsi"/>
          <w:lang w:val="nl-NL" w:bidi="nl-BE"/>
        </w:rPr>
        <w:t xml:space="preserve"> namens , , </w:t>
      </w:r>
      <w:bookmarkStart w:id="0" w:name="_Hlk88143497"/>
      <w:r w:rsidR="00771AF6" w:rsidRPr="00771AF6">
        <w:rPr>
          <w:rFonts w:asciiTheme="minorHAnsi" w:hAnsiTheme="minorHAnsi" w:cstheme="minorHAnsi"/>
          <w:lang w:val="nl-NL" w:bidi="nl-BE"/>
        </w:rPr>
        <w:t xml:space="preserve">statutair gevestigd te  </w:t>
      </w:r>
      <w:bookmarkEnd w:id="0"/>
    </w:p>
    <w:p w14:paraId="31E40AE5" w14:textId="77777777" w:rsidR="0098090F" w:rsidRDefault="0098090F" w:rsidP="0098090F">
      <w:pPr>
        <w:pStyle w:val="Plattetekstinspringen"/>
        <w:ind w:left="1410"/>
        <w:jc w:val="both"/>
        <w:rPr>
          <w:rFonts w:ascii="Calibri" w:hAnsi="Calibri" w:cs="Calibri"/>
        </w:rPr>
      </w:pPr>
    </w:p>
    <w:p w14:paraId="796C263A" w14:textId="173D9E06" w:rsidR="0098090F" w:rsidRPr="001D55D9" w:rsidRDefault="0098090F" w:rsidP="0098090F">
      <w:pPr>
        <w:pStyle w:val="Plattetekstinspringen"/>
        <w:ind w:left="1410"/>
        <w:jc w:val="both"/>
        <w:rPr>
          <w:rFonts w:ascii="Calibri" w:hAnsi="Calibri" w:cs="Calibri"/>
        </w:rPr>
      </w:pPr>
      <w:r w:rsidRPr="001D55D9">
        <w:rPr>
          <w:rFonts w:ascii="Calibri" w:hAnsi="Calibri" w:cs="Calibri"/>
        </w:rPr>
        <w:t>Concluant,</w:t>
      </w:r>
    </w:p>
    <w:p w14:paraId="45038AA9" w14:textId="53F09D18" w:rsidR="0098090F" w:rsidRPr="001D55D9" w:rsidRDefault="0098090F" w:rsidP="0098090F">
      <w:pPr>
        <w:pStyle w:val="Plattetekstinspringen"/>
        <w:ind w:left="1410"/>
        <w:jc w:val="both"/>
        <w:rPr>
          <w:rFonts w:ascii="Calibri" w:hAnsi="Calibri" w:cs="Calibri"/>
        </w:rPr>
      </w:pPr>
      <w:r w:rsidRPr="001D55D9">
        <w:rPr>
          <w:rFonts w:ascii="Calibri" w:hAnsi="Calibri" w:cs="Calibri"/>
        </w:rPr>
        <w:t xml:space="preserve">Hebbende als advocaat </w:t>
      </w:r>
      <w:proofErr w:type="spellStart"/>
      <w:r w:rsidRPr="001D55D9">
        <w:rPr>
          <w:rFonts w:ascii="Calibri" w:hAnsi="Calibri" w:cs="Calibri"/>
        </w:rPr>
        <w:t>Mtr</w:t>
      </w:r>
      <w:proofErr w:type="spellEnd"/>
      <w:r w:rsidRPr="001D55D9">
        <w:rPr>
          <w:rFonts w:ascii="Calibri" w:hAnsi="Calibri" w:cs="Calibri"/>
        </w:rPr>
        <w:t>. Augustyns Len, met kantoor te 2018 Antwerpen, aan de Brusselstraat 51.</w:t>
      </w:r>
    </w:p>
    <w:p w14:paraId="33EB5E85" w14:textId="77777777" w:rsidR="0098090F" w:rsidRPr="001D55D9" w:rsidRDefault="0098090F" w:rsidP="0098090F">
      <w:pPr>
        <w:pStyle w:val="Plattetekstinspringen"/>
        <w:ind w:left="1410"/>
        <w:jc w:val="both"/>
        <w:rPr>
          <w:rFonts w:ascii="Calibri" w:hAnsi="Calibri" w:cs="Calibri"/>
        </w:rPr>
      </w:pPr>
    </w:p>
    <w:p w14:paraId="43FE4214" w14:textId="1FB3E005" w:rsidR="00771AF6" w:rsidRPr="00456416" w:rsidRDefault="0098090F" w:rsidP="00771AF6">
      <w:pPr>
        <w:ind w:left="1418" w:hanging="1418"/>
        <w:rPr>
          <w:rFonts w:ascii="Verdana" w:hAnsi="Verdana" w:cs="Arial"/>
          <w:sz w:val="18"/>
          <w:szCs w:val="18"/>
          <w:lang w:bidi="nl-BE"/>
        </w:rPr>
      </w:pPr>
      <w:r w:rsidRPr="001D55D9">
        <w:rPr>
          <w:rFonts w:cs="Calibri"/>
          <w:b/>
          <w:u w:val="single"/>
        </w:rPr>
        <w:t>TEGEN:</w:t>
      </w:r>
      <w:r w:rsidRPr="001D55D9">
        <w:rPr>
          <w:rFonts w:cs="Calibri"/>
        </w:rPr>
        <w:tab/>
      </w:r>
      <w:r w:rsidR="00771AF6" w:rsidRPr="008C128A">
        <w:rPr>
          <w:rFonts w:asciiTheme="minorHAnsi" w:hAnsiTheme="minorHAnsi" w:cstheme="minorHAnsi"/>
          <w:lang w:bidi="nl-BE"/>
        </w:rPr>
        <w:t xml:space="preserve"> namens , ,te </w:t>
      </w:r>
      <w:r w:rsidR="00771AF6" w:rsidRPr="008C128A">
        <w:rPr>
          <w:rFonts w:asciiTheme="minorHAnsi" w:hAnsiTheme="minorHAnsi" w:cstheme="minorHAnsi"/>
          <w:lang w:val="nl-NL" w:bidi="nl-BE"/>
        </w:rPr>
        <w:t xml:space="preserve"> </w:t>
      </w:r>
    </w:p>
    <w:p w14:paraId="7CF570AD" w14:textId="7FAD052B" w:rsidR="0098090F" w:rsidRPr="00606595" w:rsidRDefault="00606595" w:rsidP="00606595">
      <w:pPr>
        <w:ind w:left="1418"/>
        <w:rPr>
          <w:rFonts w:asciiTheme="minorHAnsi" w:hAnsiTheme="minorHAnsi" w:cstheme="minorHAnsi"/>
        </w:rPr>
      </w:pPr>
      <w:r w:rsidRPr="00606595">
        <w:rPr>
          <w:rFonts w:asciiTheme="minorHAnsi" w:hAnsiTheme="minorHAnsi" w:cstheme="minorHAnsi"/>
        </w:rPr>
        <w:t xml:space="preserve">Hebbende als advocaat </w:t>
      </w:r>
      <w:r w:rsidRPr="00606595">
        <w:rPr>
          <w:rFonts w:asciiTheme="minorHAnsi" w:hAnsiTheme="minorHAnsi" w:cstheme="minorHAnsi"/>
          <w:lang w:bidi="nl-BE"/>
        </w:rPr>
        <w:t>,</w:t>
      </w:r>
      <w:r w:rsidRPr="00606595">
        <w:rPr>
          <w:rFonts w:asciiTheme="minorHAnsi" w:hAnsiTheme="minorHAnsi" w:cstheme="minorHAnsi"/>
          <w:lang w:val="nl-NL" w:bidi="nl-BE"/>
        </w:rPr>
        <w:t xml:space="preserve"> advocate </w:t>
      </w:r>
      <w:r w:rsidRPr="00606595">
        <w:rPr>
          <w:rFonts w:asciiTheme="minorHAnsi" w:hAnsiTheme="minorHAnsi" w:cstheme="minorHAnsi"/>
          <w:lang w:bidi="nl-BE"/>
        </w:rPr>
        <w:t xml:space="preserve">, met kantoor te  </w:t>
      </w:r>
    </w:p>
    <w:p w14:paraId="6EF09122" w14:textId="77777777" w:rsidR="0098090F" w:rsidRPr="001D55D9" w:rsidRDefault="0098090F" w:rsidP="0098090F">
      <w:pPr>
        <w:pBdr>
          <w:bottom w:val="single" w:sz="6" w:space="1" w:color="auto"/>
        </w:pBdr>
        <w:rPr>
          <w:rFonts w:cs="Calibri"/>
        </w:rPr>
      </w:pPr>
    </w:p>
    <w:p w14:paraId="1DFCC1F6" w14:textId="77777777" w:rsidR="0098090F" w:rsidRPr="001D55D9" w:rsidRDefault="0098090F" w:rsidP="0098090F">
      <w:pPr>
        <w:pStyle w:val="ProcedureTekst"/>
        <w:jc w:val="center"/>
        <w:rPr>
          <w:rFonts w:ascii="Calibri" w:hAnsi="Calibri" w:cs="Calibri"/>
          <w:sz w:val="22"/>
          <w:szCs w:val="22"/>
        </w:rPr>
      </w:pPr>
    </w:p>
    <w:p w14:paraId="32756788" w14:textId="55CFA8D7" w:rsidR="0098090F" w:rsidRDefault="0098090F" w:rsidP="0098090F">
      <w:pPr>
        <w:pStyle w:val="ProcedureTekst"/>
        <w:jc w:val="center"/>
        <w:rPr>
          <w:rFonts w:asciiTheme="minorHAnsi" w:hAnsiTheme="minorHAnsi" w:cstheme="minorHAnsi"/>
          <w:bCs/>
          <w:noProof/>
          <w:sz w:val="22"/>
          <w:szCs w:val="22"/>
        </w:rPr>
      </w:pPr>
    </w:p>
    <w:p w14:paraId="1A8D1AB2" w14:textId="77777777" w:rsidR="00771AF6" w:rsidRPr="00771AF6" w:rsidRDefault="00771AF6" w:rsidP="0098090F">
      <w:pPr>
        <w:pStyle w:val="ProcedureTekst"/>
        <w:jc w:val="center"/>
        <w:rPr>
          <w:rFonts w:asciiTheme="minorHAnsi" w:hAnsiTheme="minorHAnsi" w:cstheme="minorHAnsi"/>
          <w:bCs/>
          <w:sz w:val="22"/>
          <w:szCs w:val="22"/>
        </w:rPr>
      </w:pPr>
    </w:p>
    <w:p w14:paraId="79315B60" w14:textId="651E12B5" w:rsidR="0098090F" w:rsidRDefault="0098090F" w:rsidP="0098090F">
      <w:pPr>
        <w:pStyle w:val="ProcedureTekst"/>
        <w:jc w:val="center"/>
        <w:rPr>
          <w:rFonts w:ascii="Calibri" w:hAnsi="Calibri" w:cs="Calibri"/>
          <w:sz w:val="22"/>
          <w:szCs w:val="22"/>
        </w:rPr>
      </w:pPr>
      <w:r>
        <w:rPr>
          <w:rFonts w:ascii="Calibri" w:hAnsi="Calibri" w:cs="Calibri"/>
          <w:sz w:val="22"/>
          <w:szCs w:val="22"/>
        </w:rPr>
        <w:t>Kamer</w:t>
      </w:r>
    </w:p>
    <w:p w14:paraId="0292D05B" w14:textId="77777777" w:rsidR="0098090F" w:rsidRPr="001D55D9" w:rsidRDefault="0098090F" w:rsidP="0098090F">
      <w:pPr>
        <w:pStyle w:val="ProcedureTekst"/>
        <w:jc w:val="center"/>
        <w:rPr>
          <w:rFonts w:ascii="Calibri" w:hAnsi="Calibri" w:cs="Calibri"/>
          <w:sz w:val="22"/>
          <w:szCs w:val="22"/>
        </w:rPr>
      </w:pPr>
    </w:p>
    <w:p w14:paraId="5D11A831" w14:textId="0424F686" w:rsidR="0098090F" w:rsidRPr="001364E5" w:rsidRDefault="0098090F" w:rsidP="0098090F">
      <w:pPr>
        <w:tabs>
          <w:tab w:val="left" w:pos="1620"/>
        </w:tabs>
        <w:ind w:left="1418" w:hanging="878"/>
        <w:jc w:val="center"/>
        <w:rPr>
          <w:rFonts w:ascii="Arial" w:hAnsi="Arial" w:cs="Arial"/>
          <w:b/>
          <w:u w:val="single"/>
        </w:rPr>
      </w:pPr>
      <w:r>
        <w:rPr>
          <w:rFonts w:ascii="Arial" w:hAnsi="Arial" w:cs="Arial"/>
          <w:b/>
        </w:rPr>
        <w:t>Notitienummer</w:t>
      </w:r>
    </w:p>
    <w:p w14:paraId="096E4D33" w14:textId="6E19577A" w:rsidR="0098090F" w:rsidRPr="001D55D9" w:rsidRDefault="0098090F" w:rsidP="0098090F">
      <w:pPr>
        <w:pStyle w:val="ProcedureTekst"/>
        <w:jc w:val="center"/>
        <w:rPr>
          <w:rFonts w:ascii="Calibri" w:hAnsi="Calibri" w:cs="Calibri"/>
          <w:sz w:val="22"/>
          <w:szCs w:val="22"/>
        </w:rPr>
      </w:pPr>
      <w:r w:rsidRPr="001D55D9">
        <w:rPr>
          <w:rFonts w:ascii="Calibri" w:hAnsi="Calibri" w:cs="Calibri"/>
          <w:sz w:val="22"/>
          <w:szCs w:val="22"/>
        </w:rPr>
        <w:t xml:space="preserve">Zitting dd. </w:t>
      </w:r>
      <w:r>
        <w:rPr>
          <w:rFonts w:ascii="Calibri" w:hAnsi="Calibri" w:cs="Calibri"/>
          <w:sz w:val="22"/>
          <w:szCs w:val="22"/>
        </w:rPr>
        <w:t>…/../….</w:t>
      </w:r>
    </w:p>
    <w:p w14:paraId="6794587E" w14:textId="77777777" w:rsidR="0098090F" w:rsidRPr="001D55D9" w:rsidRDefault="0098090F" w:rsidP="0098090F">
      <w:pPr>
        <w:pBdr>
          <w:bottom w:val="single" w:sz="6" w:space="1" w:color="auto"/>
        </w:pBdr>
        <w:rPr>
          <w:rFonts w:cs="Calibri"/>
        </w:rPr>
      </w:pPr>
    </w:p>
    <w:p w14:paraId="4113D81A" w14:textId="77777777" w:rsidR="0098090F" w:rsidRPr="001D55D9" w:rsidRDefault="0098090F" w:rsidP="0098090F">
      <w:pPr>
        <w:pBdr>
          <w:bottom w:val="single" w:sz="6" w:space="1" w:color="auto"/>
        </w:pBdr>
        <w:rPr>
          <w:rFonts w:cs="Calibri"/>
        </w:rPr>
      </w:pPr>
    </w:p>
    <w:p w14:paraId="315640BA" w14:textId="77777777" w:rsidR="0098090F" w:rsidRPr="001D55D9" w:rsidRDefault="0098090F" w:rsidP="0098090F">
      <w:pPr>
        <w:pStyle w:val="ProcedureTekst"/>
        <w:rPr>
          <w:rFonts w:ascii="Calibri" w:hAnsi="Calibri" w:cs="Calibri"/>
          <w:sz w:val="22"/>
          <w:szCs w:val="22"/>
        </w:rPr>
      </w:pPr>
    </w:p>
    <w:p w14:paraId="54FDECE5" w14:textId="77777777" w:rsidR="0098090F" w:rsidRPr="001D55D9" w:rsidRDefault="0098090F" w:rsidP="0098090F">
      <w:pPr>
        <w:pStyle w:val="ProcedureTekst"/>
        <w:rPr>
          <w:rFonts w:ascii="Calibri" w:hAnsi="Calibri" w:cs="Calibri"/>
          <w:sz w:val="22"/>
          <w:szCs w:val="22"/>
        </w:rPr>
      </w:pPr>
    </w:p>
    <w:p w14:paraId="2C75F86A" w14:textId="67EF17EF" w:rsidR="0098090F" w:rsidRDefault="0098090F" w:rsidP="0098090F">
      <w:pPr>
        <w:pStyle w:val="ProcedureTekst"/>
        <w:jc w:val="center"/>
        <w:rPr>
          <w:rFonts w:ascii="Calibri" w:hAnsi="Calibri" w:cs="Calibri"/>
          <w:sz w:val="22"/>
          <w:szCs w:val="22"/>
        </w:rPr>
      </w:pPr>
      <w:r w:rsidRPr="001D55D9">
        <w:rPr>
          <w:rFonts w:ascii="Calibri" w:hAnsi="Calibri" w:cs="Calibri"/>
          <w:sz w:val="22"/>
          <w:szCs w:val="22"/>
        </w:rPr>
        <w:t>Onder voorbehoud van alle recht en zonder enige nadelige erkentenis;</w:t>
      </w:r>
    </w:p>
    <w:p w14:paraId="5A762030" w14:textId="00BDAEA7" w:rsidR="0098090F" w:rsidRDefault="0098090F" w:rsidP="0098090F">
      <w:pPr>
        <w:pStyle w:val="ProcedureTekst"/>
        <w:jc w:val="center"/>
        <w:rPr>
          <w:rFonts w:ascii="Calibri" w:hAnsi="Calibri" w:cs="Calibri"/>
          <w:sz w:val="22"/>
          <w:szCs w:val="22"/>
        </w:rPr>
      </w:pPr>
    </w:p>
    <w:p w14:paraId="07E1EEA6" w14:textId="018D0FB4" w:rsidR="0098090F" w:rsidRDefault="0098090F" w:rsidP="0098090F">
      <w:pPr>
        <w:pStyle w:val="ProcedureTekst"/>
        <w:jc w:val="center"/>
        <w:rPr>
          <w:rFonts w:ascii="Calibri" w:hAnsi="Calibri" w:cs="Calibri"/>
          <w:sz w:val="22"/>
          <w:szCs w:val="22"/>
        </w:rPr>
      </w:pPr>
    </w:p>
    <w:p w14:paraId="1BA0309E" w14:textId="6B75CC6A" w:rsidR="0098090F" w:rsidRDefault="0098090F" w:rsidP="0098090F">
      <w:pPr>
        <w:pStyle w:val="ProcedureTekst"/>
        <w:jc w:val="center"/>
        <w:rPr>
          <w:rFonts w:ascii="Calibri" w:hAnsi="Calibri" w:cs="Calibri"/>
          <w:sz w:val="22"/>
          <w:szCs w:val="22"/>
        </w:rPr>
      </w:pPr>
    </w:p>
    <w:p w14:paraId="212FF63F" w14:textId="48068C8D" w:rsidR="0098090F" w:rsidRDefault="0098090F" w:rsidP="0098090F">
      <w:pPr>
        <w:pStyle w:val="ProcedureTekst"/>
        <w:jc w:val="center"/>
        <w:rPr>
          <w:rFonts w:ascii="Calibri" w:hAnsi="Calibri" w:cs="Calibri"/>
          <w:sz w:val="22"/>
          <w:szCs w:val="22"/>
        </w:rPr>
      </w:pPr>
    </w:p>
    <w:p w14:paraId="62FC2E98" w14:textId="6F64FD5B" w:rsidR="0098090F" w:rsidRDefault="0098090F" w:rsidP="0098090F">
      <w:pPr>
        <w:pStyle w:val="ProcedureTekst"/>
        <w:numPr>
          <w:ilvl w:val="0"/>
          <w:numId w:val="1"/>
        </w:numPr>
        <w:jc w:val="both"/>
        <w:rPr>
          <w:rFonts w:ascii="Calibri" w:hAnsi="Calibri" w:cs="Calibri"/>
          <w:b/>
          <w:sz w:val="22"/>
          <w:szCs w:val="22"/>
          <w:u w:val="single"/>
        </w:rPr>
      </w:pPr>
      <w:r w:rsidRPr="001D55D9">
        <w:rPr>
          <w:rFonts w:ascii="Calibri" w:hAnsi="Calibri" w:cs="Calibri"/>
          <w:b/>
          <w:sz w:val="22"/>
          <w:szCs w:val="22"/>
          <w:u w:val="single"/>
        </w:rPr>
        <w:lastRenderedPageBreak/>
        <w:t>De Aanspraken:</w:t>
      </w:r>
    </w:p>
    <w:p w14:paraId="1CD19494" w14:textId="77777777" w:rsidR="00EA77A3" w:rsidRDefault="00EA77A3" w:rsidP="00EA77A3">
      <w:pPr>
        <w:pStyle w:val="ProcedureTekst"/>
        <w:jc w:val="both"/>
        <w:rPr>
          <w:rFonts w:ascii="Calibri" w:hAnsi="Calibri" w:cs="Calibri"/>
          <w:b/>
          <w:sz w:val="22"/>
          <w:szCs w:val="22"/>
          <w:u w:val="single"/>
        </w:rPr>
      </w:pPr>
    </w:p>
    <w:p w14:paraId="6B1E6B83" w14:textId="2ECF87DD" w:rsidR="00EA77A3" w:rsidRDefault="00EA77A3" w:rsidP="00EA77A3">
      <w:pPr>
        <w:pStyle w:val="ProcedureTekst"/>
        <w:jc w:val="both"/>
        <w:rPr>
          <w:rFonts w:ascii="Calibri" w:hAnsi="Calibri" w:cs="Calibri"/>
          <w:bCs/>
          <w:sz w:val="22"/>
          <w:szCs w:val="22"/>
        </w:rPr>
      </w:pPr>
      <w:r>
        <w:rPr>
          <w:rFonts w:ascii="Calibri" w:hAnsi="Calibri" w:cs="Calibri"/>
          <w:bCs/>
          <w:sz w:val="22"/>
          <w:szCs w:val="22"/>
        </w:rPr>
        <w:t>1.</w:t>
      </w:r>
      <w:r>
        <w:rPr>
          <w:rFonts w:ascii="Calibri" w:hAnsi="Calibri" w:cs="Calibri"/>
          <w:bCs/>
          <w:sz w:val="22"/>
          <w:szCs w:val="22"/>
        </w:rPr>
        <w:br/>
        <w:t>Concluant wordt conform de dagvaarding vervolgd voor de tenlasteleggingen;</w:t>
      </w:r>
    </w:p>
    <w:p w14:paraId="7D4ABEA4" w14:textId="77777777" w:rsidR="00EA77A3" w:rsidRDefault="00EA77A3" w:rsidP="00EA77A3">
      <w:pPr>
        <w:pStyle w:val="ProcedureTekst"/>
        <w:jc w:val="both"/>
        <w:rPr>
          <w:rFonts w:ascii="Calibri" w:hAnsi="Calibri" w:cs="Calibri"/>
          <w:bCs/>
          <w:sz w:val="22"/>
          <w:szCs w:val="22"/>
        </w:rPr>
      </w:pPr>
    </w:p>
    <w:p w14:paraId="59313B14" w14:textId="3EEBB56C" w:rsidR="00EA77A3" w:rsidRDefault="00EA77A3" w:rsidP="00EA77A3">
      <w:pPr>
        <w:pStyle w:val="ProcedureTekst"/>
        <w:jc w:val="both"/>
        <w:rPr>
          <w:rFonts w:ascii="Calibri" w:hAnsi="Calibri" w:cs="Calibri"/>
          <w:bCs/>
          <w:sz w:val="22"/>
          <w:szCs w:val="22"/>
        </w:rPr>
      </w:pPr>
    </w:p>
    <w:p w14:paraId="3B702365" w14:textId="748E5888" w:rsidR="00EA77A3" w:rsidRDefault="00EA77A3" w:rsidP="00EA77A3">
      <w:pPr>
        <w:pStyle w:val="ProcedureTekst"/>
        <w:jc w:val="both"/>
        <w:rPr>
          <w:rFonts w:ascii="Calibri" w:hAnsi="Calibri" w:cs="Calibri"/>
          <w:bCs/>
          <w:sz w:val="22"/>
          <w:szCs w:val="22"/>
        </w:rPr>
      </w:pPr>
      <w:r>
        <w:rPr>
          <w:rFonts w:ascii="Calibri" w:hAnsi="Calibri" w:cs="Calibri"/>
          <w:bCs/>
          <w:sz w:val="22"/>
          <w:szCs w:val="22"/>
        </w:rPr>
        <w:t>2.</w:t>
      </w:r>
      <w:r>
        <w:rPr>
          <w:rFonts w:ascii="Calibri" w:hAnsi="Calibri" w:cs="Calibri"/>
          <w:bCs/>
          <w:sz w:val="22"/>
          <w:szCs w:val="22"/>
        </w:rPr>
        <w:br/>
        <w:t xml:space="preserve">Concluant verzoekt Uw Rechtbank de verbeurdverklaring </w:t>
      </w:r>
      <w:proofErr w:type="spellStart"/>
      <w:r>
        <w:rPr>
          <w:rFonts w:ascii="Calibri" w:hAnsi="Calibri" w:cs="Calibri"/>
          <w:bCs/>
          <w:sz w:val="22"/>
          <w:szCs w:val="22"/>
        </w:rPr>
        <w:t>lastens</w:t>
      </w:r>
      <w:proofErr w:type="spellEnd"/>
      <w:r>
        <w:rPr>
          <w:rFonts w:ascii="Calibri" w:hAnsi="Calibri" w:cs="Calibri"/>
          <w:bCs/>
          <w:sz w:val="22"/>
          <w:szCs w:val="22"/>
        </w:rPr>
        <w:t xml:space="preserve"> concluant integraal af te wijzen bij gebreke aan onderbouwing en bewijs. </w:t>
      </w:r>
    </w:p>
    <w:p w14:paraId="2E655BD6" w14:textId="77777777" w:rsidR="00EA77A3" w:rsidRDefault="00EA77A3" w:rsidP="00EA77A3">
      <w:pPr>
        <w:pStyle w:val="ProcedureTekst"/>
        <w:jc w:val="both"/>
        <w:rPr>
          <w:rFonts w:ascii="Calibri" w:hAnsi="Calibri" w:cs="Calibri"/>
          <w:bCs/>
          <w:sz w:val="22"/>
          <w:szCs w:val="22"/>
        </w:rPr>
      </w:pPr>
    </w:p>
    <w:p w14:paraId="48CFBDB1" w14:textId="0BDA7471" w:rsidR="00EA77A3" w:rsidRDefault="00EA77A3" w:rsidP="00EA77A3">
      <w:pPr>
        <w:pStyle w:val="ProcedureTekst"/>
        <w:jc w:val="both"/>
        <w:rPr>
          <w:rFonts w:ascii="Calibri" w:hAnsi="Calibri" w:cs="Calibri"/>
          <w:bCs/>
          <w:sz w:val="22"/>
          <w:szCs w:val="22"/>
        </w:rPr>
      </w:pPr>
      <w:r>
        <w:rPr>
          <w:rFonts w:ascii="Calibri" w:hAnsi="Calibri" w:cs="Calibri"/>
          <w:bCs/>
          <w:sz w:val="22"/>
          <w:szCs w:val="22"/>
        </w:rPr>
        <w:t>Ondergeschikt verzoekt concluant Uw Rechtbank de gevraagde verbeurdverklaring aanzienlijk te herleiden, gelet haar facultatief karakter tot wat realistisch is.</w:t>
      </w:r>
    </w:p>
    <w:p w14:paraId="544BAD22" w14:textId="77777777" w:rsidR="00EA77A3" w:rsidRDefault="00EA77A3" w:rsidP="00EA77A3">
      <w:pPr>
        <w:pStyle w:val="ProcedureTekst"/>
        <w:jc w:val="both"/>
        <w:rPr>
          <w:rFonts w:ascii="Calibri" w:hAnsi="Calibri" w:cs="Calibri"/>
          <w:bCs/>
          <w:sz w:val="22"/>
          <w:szCs w:val="22"/>
        </w:rPr>
      </w:pPr>
    </w:p>
    <w:p w14:paraId="2C00124E" w14:textId="77777777" w:rsidR="00EA77A3" w:rsidRPr="00EA77A3" w:rsidRDefault="00EA77A3" w:rsidP="00EA77A3">
      <w:pPr>
        <w:pStyle w:val="ProcedureTekst"/>
        <w:jc w:val="both"/>
        <w:rPr>
          <w:rFonts w:ascii="Calibri" w:hAnsi="Calibri" w:cs="Calibri"/>
          <w:bCs/>
          <w:sz w:val="22"/>
          <w:szCs w:val="22"/>
        </w:rPr>
      </w:pPr>
    </w:p>
    <w:p w14:paraId="10588452" w14:textId="0FD04343" w:rsidR="0098090F" w:rsidRDefault="0098090F" w:rsidP="0098090F">
      <w:pPr>
        <w:pStyle w:val="ProcedureTekst"/>
        <w:numPr>
          <w:ilvl w:val="0"/>
          <w:numId w:val="1"/>
        </w:numPr>
        <w:jc w:val="both"/>
        <w:rPr>
          <w:rFonts w:ascii="Calibri" w:hAnsi="Calibri" w:cs="Calibri"/>
          <w:b/>
          <w:sz w:val="22"/>
          <w:szCs w:val="22"/>
          <w:u w:val="single"/>
        </w:rPr>
      </w:pPr>
      <w:r>
        <w:rPr>
          <w:rFonts w:ascii="Calibri" w:hAnsi="Calibri" w:cs="Calibri"/>
          <w:b/>
          <w:sz w:val="22"/>
          <w:szCs w:val="22"/>
          <w:u w:val="single"/>
        </w:rPr>
        <w:t>De Feiten</w:t>
      </w:r>
    </w:p>
    <w:p w14:paraId="43B11EA2" w14:textId="30A6F3CD" w:rsidR="0098090F" w:rsidRDefault="0098090F" w:rsidP="0098090F">
      <w:pPr>
        <w:pStyle w:val="ProcedureTekst"/>
        <w:numPr>
          <w:ilvl w:val="0"/>
          <w:numId w:val="1"/>
        </w:numPr>
        <w:jc w:val="both"/>
        <w:rPr>
          <w:rFonts w:ascii="Calibri" w:hAnsi="Calibri" w:cs="Calibri"/>
          <w:b/>
          <w:sz w:val="22"/>
          <w:szCs w:val="22"/>
          <w:u w:val="single"/>
        </w:rPr>
      </w:pPr>
      <w:r>
        <w:rPr>
          <w:rFonts w:ascii="Calibri" w:hAnsi="Calibri" w:cs="Calibri"/>
          <w:b/>
          <w:sz w:val="22"/>
          <w:szCs w:val="22"/>
          <w:u w:val="single"/>
        </w:rPr>
        <w:t>In Rechte</w:t>
      </w:r>
    </w:p>
    <w:p w14:paraId="081FAE23" w14:textId="0FE3D651" w:rsidR="0098090F" w:rsidRDefault="0098090F" w:rsidP="0098090F">
      <w:pPr>
        <w:pStyle w:val="ProcedureTekst"/>
        <w:ind w:left="1996"/>
        <w:jc w:val="both"/>
        <w:rPr>
          <w:rFonts w:ascii="Calibri" w:hAnsi="Calibri" w:cs="Calibri"/>
          <w:b/>
          <w:sz w:val="22"/>
          <w:szCs w:val="22"/>
          <w:u w:val="single"/>
        </w:rPr>
      </w:pPr>
    </w:p>
    <w:p w14:paraId="32A1A8E9" w14:textId="655A6AD8" w:rsidR="0098090F" w:rsidRDefault="0098090F" w:rsidP="0098090F">
      <w:pPr>
        <w:pStyle w:val="ProcedureTekst"/>
        <w:numPr>
          <w:ilvl w:val="0"/>
          <w:numId w:val="2"/>
        </w:numPr>
        <w:jc w:val="both"/>
        <w:rPr>
          <w:rFonts w:ascii="Calibri" w:hAnsi="Calibri" w:cs="Calibri"/>
          <w:b/>
          <w:sz w:val="22"/>
          <w:szCs w:val="22"/>
          <w:u w:val="single"/>
        </w:rPr>
      </w:pPr>
      <w:r>
        <w:rPr>
          <w:rFonts w:ascii="Calibri" w:hAnsi="Calibri" w:cs="Calibri"/>
          <w:b/>
          <w:sz w:val="22"/>
          <w:szCs w:val="22"/>
          <w:u w:val="single"/>
        </w:rPr>
        <w:t>Eerste middel</w:t>
      </w:r>
      <w:r w:rsidR="00A0728F">
        <w:rPr>
          <w:rFonts w:ascii="Calibri" w:hAnsi="Calibri" w:cs="Calibri"/>
          <w:b/>
          <w:sz w:val="22"/>
          <w:szCs w:val="22"/>
          <w:u w:val="single"/>
        </w:rPr>
        <w:t xml:space="preserve">: de verbeurdverklaring </w:t>
      </w:r>
    </w:p>
    <w:p w14:paraId="1FC6C451" w14:textId="77777777" w:rsidR="00A0728F" w:rsidRDefault="00A0728F" w:rsidP="00A0728F">
      <w:pPr>
        <w:pStyle w:val="ProcedureTekst"/>
        <w:jc w:val="both"/>
        <w:rPr>
          <w:rFonts w:ascii="Calibri" w:hAnsi="Calibri" w:cs="Calibri"/>
          <w:b/>
          <w:sz w:val="22"/>
          <w:szCs w:val="22"/>
          <w:u w:val="single"/>
        </w:rPr>
      </w:pPr>
    </w:p>
    <w:p w14:paraId="113B8BE7" w14:textId="17C1AE80" w:rsidR="00A0728F" w:rsidRPr="00611398" w:rsidRDefault="00611398" w:rsidP="00A0728F">
      <w:pPr>
        <w:pStyle w:val="ProcedureTekst"/>
        <w:jc w:val="both"/>
        <w:rPr>
          <w:rFonts w:ascii="Calibri" w:hAnsi="Calibri" w:cs="Calibri"/>
          <w:bCs/>
          <w:sz w:val="22"/>
          <w:szCs w:val="22"/>
        </w:rPr>
      </w:pPr>
      <w:r>
        <w:rPr>
          <w:rFonts w:ascii="Calibri" w:hAnsi="Calibri" w:cs="Calibri"/>
          <w:bCs/>
          <w:sz w:val="22"/>
          <w:szCs w:val="22"/>
        </w:rPr>
        <w:t>1.</w:t>
      </w:r>
    </w:p>
    <w:p w14:paraId="6F50A8C4" w14:textId="47789A23" w:rsidR="00611398" w:rsidRPr="002E6900" w:rsidRDefault="00611398" w:rsidP="00611398">
      <w:pPr>
        <w:jc w:val="both"/>
        <w:rPr>
          <w:rFonts w:cs="Calibri"/>
          <w:sz w:val="24"/>
          <w:szCs w:val="24"/>
        </w:rPr>
      </w:pPr>
      <w:r w:rsidRPr="002E6900">
        <w:rPr>
          <w:rFonts w:cs="Calibri"/>
          <w:sz w:val="24"/>
          <w:szCs w:val="24"/>
        </w:rPr>
        <w:t xml:space="preserve">Het Openbaar Ministerie vordert de verbeurdverklaring van het bedrag van </w:t>
      </w:r>
      <w:r>
        <w:rPr>
          <w:rFonts w:cs="Calibri"/>
          <w:sz w:val="24"/>
          <w:szCs w:val="24"/>
        </w:rPr>
        <w:t>…</w:t>
      </w:r>
      <w:r w:rsidRPr="002E6900">
        <w:rPr>
          <w:rFonts w:cs="Calibri"/>
          <w:sz w:val="24"/>
          <w:szCs w:val="24"/>
        </w:rPr>
        <w:t xml:space="preserve"> euro als beweerd vermogensvoordeel uit de misdrijven voorzien onder de tenlasteleggingen “voorbereidende handelingen strekkende tot de invoer van verdovende middelen” overeenkomstig artikel 42, 3° en 43 bis Sw.</w:t>
      </w:r>
    </w:p>
    <w:p w14:paraId="04674DA2" w14:textId="77777777" w:rsidR="00611398" w:rsidRPr="002E6900" w:rsidRDefault="00611398" w:rsidP="00611398">
      <w:pPr>
        <w:jc w:val="both"/>
        <w:rPr>
          <w:rFonts w:cs="Calibri"/>
          <w:sz w:val="24"/>
          <w:szCs w:val="24"/>
        </w:rPr>
      </w:pPr>
      <w:r w:rsidRPr="002E6900">
        <w:rPr>
          <w:rFonts w:cs="Calibri"/>
          <w:sz w:val="24"/>
          <w:szCs w:val="24"/>
        </w:rPr>
        <w:t>De tekst van het art. 42 S.W. luidt als volgt :</w:t>
      </w:r>
    </w:p>
    <w:p w14:paraId="0A19FF05" w14:textId="77777777" w:rsidR="00611398" w:rsidRPr="002E6900" w:rsidRDefault="00611398" w:rsidP="00611398">
      <w:pPr>
        <w:ind w:firstLine="720"/>
        <w:jc w:val="both"/>
        <w:rPr>
          <w:rFonts w:cs="Calibri"/>
          <w:i/>
          <w:sz w:val="24"/>
          <w:szCs w:val="24"/>
        </w:rPr>
      </w:pPr>
      <w:r w:rsidRPr="002E6900">
        <w:rPr>
          <w:rFonts w:cs="Calibri"/>
          <w:i/>
          <w:sz w:val="24"/>
          <w:szCs w:val="24"/>
        </w:rPr>
        <w:t>“Bijzondere verbeurdverklaring wordt toegepast :</w:t>
      </w:r>
    </w:p>
    <w:p w14:paraId="22591B04" w14:textId="77777777" w:rsidR="00611398" w:rsidRPr="002E6900" w:rsidRDefault="00611398" w:rsidP="00611398">
      <w:pPr>
        <w:ind w:left="720"/>
        <w:jc w:val="both"/>
        <w:rPr>
          <w:rFonts w:cs="Calibri"/>
          <w:i/>
          <w:sz w:val="24"/>
          <w:szCs w:val="24"/>
        </w:rPr>
      </w:pPr>
      <w:r w:rsidRPr="002E6900">
        <w:rPr>
          <w:rFonts w:cs="Calibri"/>
          <w:i/>
          <w:sz w:val="24"/>
          <w:szCs w:val="24"/>
        </w:rPr>
        <w:t>1° op de zaken die het voorwerp van het misdrijf uitmaken, en op die welke gediend hebben of bestemd waren tot het plegen van het misdrijf, wanneer zij eigendom van de veroordeelde zijn;</w:t>
      </w:r>
    </w:p>
    <w:p w14:paraId="4F6E24C5" w14:textId="77777777" w:rsidR="00611398" w:rsidRPr="002E6900" w:rsidRDefault="00611398" w:rsidP="00611398">
      <w:pPr>
        <w:ind w:firstLine="720"/>
        <w:jc w:val="both"/>
        <w:rPr>
          <w:rFonts w:cs="Calibri"/>
          <w:i/>
          <w:sz w:val="24"/>
          <w:szCs w:val="24"/>
        </w:rPr>
      </w:pPr>
      <w:r w:rsidRPr="002E6900">
        <w:rPr>
          <w:rFonts w:cs="Calibri"/>
          <w:i/>
          <w:sz w:val="24"/>
          <w:szCs w:val="24"/>
        </w:rPr>
        <w:t>2° op de zaken die uit het misdrijf voortkomen;</w:t>
      </w:r>
    </w:p>
    <w:p w14:paraId="4F857BDF" w14:textId="77777777" w:rsidR="00611398" w:rsidRPr="002E6900" w:rsidRDefault="00611398" w:rsidP="00611398">
      <w:pPr>
        <w:ind w:left="720"/>
        <w:jc w:val="both"/>
        <w:rPr>
          <w:rFonts w:cs="Calibri"/>
          <w:sz w:val="24"/>
          <w:szCs w:val="24"/>
        </w:rPr>
      </w:pPr>
      <w:r w:rsidRPr="002E6900">
        <w:rPr>
          <w:rFonts w:cs="Calibri"/>
          <w:i/>
          <w:sz w:val="24"/>
          <w:szCs w:val="24"/>
        </w:rPr>
        <w:t>3° op de vermogensvoordelen die rechtstreeks uit het misdrijf zijn verkregen, op de goederen en waarden die in de plaats ervan zijn gesteld en op de inkomsten uit de belegde voordelen.”</w:t>
      </w:r>
    </w:p>
    <w:p w14:paraId="4EEDFFD7" w14:textId="77777777" w:rsidR="00611398" w:rsidRPr="002E6900" w:rsidRDefault="00611398" w:rsidP="00611398">
      <w:pPr>
        <w:jc w:val="both"/>
        <w:rPr>
          <w:rFonts w:cs="Calibri"/>
          <w:sz w:val="24"/>
          <w:szCs w:val="24"/>
        </w:rPr>
      </w:pPr>
      <w:r w:rsidRPr="002E6900">
        <w:rPr>
          <w:rFonts w:cs="Calibri"/>
          <w:sz w:val="24"/>
          <w:szCs w:val="24"/>
        </w:rPr>
        <w:t xml:space="preserve">Het Openbaar Ministerie grondt zich op het </w:t>
      </w:r>
      <w:r w:rsidRPr="002E6900">
        <w:rPr>
          <w:rFonts w:cs="Calibri"/>
          <w:sz w:val="24"/>
          <w:szCs w:val="24"/>
          <w:u w:val="single"/>
        </w:rPr>
        <w:t>art. 42, 3° S.W.</w:t>
      </w:r>
      <w:r w:rsidRPr="002E6900">
        <w:rPr>
          <w:rFonts w:cs="Calibri"/>
          <w:sz w:val="24"/>
          <w:szCs w:val="24"/>
        </w:rPr>
        <w:t xml:space="preserve"> voor haar vordering tot verbeurdverklaring van de vermogensvoordelen uit de misdrijven zoals weerhouden onder noemer “invoer van verdovende middelen” van de tenlastelegging, in geval van veroordeling van concluant wegens </w:t>
      </w:r>
      <w:r w:rsidRPr="002E6900">
        <w:rPr>
          <w:rFonts w:cs="Calibri"/>
          <w:sz w:val="24"/>
          <w:szCs w:val="24"/>
          <w:u w:val="single"/>
        </w:rPr>
        <w:t>witwas</w:t>
      </w:r>
      <w:r w:rsidRPr="002E6900">
        <w:rPr>
          <w:rFonts w:cs="Calibri"/>
          <w:sz w:val="24"/>
          <w:szCs w:val="24"/>
        </w:rPr>
        <w:t>.  Het Openbaar Ministerie vordert hier de confiscatie van vermogensvoordelen of voordeelsontneming.</w:t>
      </w:r>
    </w:p>
    <w:p w14:paraId="1B7CAF2D" w14:textId="77777777" w:rsidR="00611398" w:rsidRPr="002E6900" w:rsidRDefault="00611398" w:rsidP="00611398">
      <w:pPr>
        <w:jc w:val="both"/>
        <w:rPr>
          <w:rFonts w:cs="Calibri"/>
          <w:sz w:val="24"/>
          <w:szCs w:val="24"/>
        </w:rPr>
      </w:pPr>
      <w:r w:rsidRPr="002E6900">
        <w:rPr>
          <w:rFonts w:cs="Calibri"/>
          <w:sz w:val="24"/>
          <w:szCs w:val="24"/>
        </w:rPr>
        <w:t xml:space="preserve">Concreet gezien grondt het Openbaar Ministerie zich aldus voor haar vordering tot verbeurdverklaring dus niet op de tenlastelegging witwas </w:t>
      </w:r>
      <w:proofErr w:type="spellStart"/>
      <w:r w:rsidRPr="002E6900">
        <w:rPr>
          <w:rFonts w:cs="Calibri"/>
          <w:sz w:val="24"/>
          <w:szCs w:val="24"/>
        </w:rPr>
        <w:t>opzichtens</w:t>
      </w:r>
      <w:proofErr w:type="spellEnd"/>
      <w:r w:rsidRPr="002E6900">
        <w:rPr>
          <w:rFonts w:cs="Calibri"/>
          <w:sz w:val="24"/>
          <w:szCs w:val="24"/>
        </w:rPr>
        <w:t xml:space="preserve"> concluant, en aldus niet op het </w:t>
      </w:r>
      <w:r w:rsidRPr="002E6900">
        <w:rPr>
          <w:rFonts w:cs="Calibri"/>
          <w:sz w:val="24"/>
          <w:szCs w:val="24"/>
          <w:u w:val="single"/>
        </w:rPr>
        <w:t>art. 42, 1° S.W.</w:t>
      </w:r>
      <w:r w:rsidRPr="002E6900">
        <w:rPr>
          <w:rFonts w:cs="Calibri"/>
          <w:sz w:val="24"/>
          <w:szCs w:val="24"/>
        </w:rPr>
        <w:t xml:space="preserve"> Het Openbaar Ministerie vordert hier derhalve géén gewone confiscatie.</w:t>
      </w:r>
    </w:p>
    <w:p w14:paraId="06D09EDC" w14:textId="28D41690" w:rsidR="00611398" w:rsidRPr="002E6900" w:rsidRDefault="00611398" w:rsidP="00611398">
      <w:pPr>
        <w:jc w:val="both"/>
        <w:rPr>
          <w:rFonts w:cs="Calibri"/>
          <w:bCs/>
          <w:sz w:val="24"/>
          <w:szCs w:val="24"/>
        </w:rPr>
      </w:pPr>
    </w:p>
    <w:p w14:paraId="0C6B1140" w14:textId="36FE6CA2" w:rsidR="00611398" w:rsidRPr="002E6900" w:rsidRDefault="00611398" w:rsidP="00611398">
      <w:pPr>
        <w:jc w:val="both"/>
        <w:rPr>
          <w:rFonts w:cs="Calibri"/>
          <w:sz w:val="24"/>
          <w:szCs w:val="24"/>
        </w:rPr>
      </w:pPr>
      <w:r>
        <w:rPr>
          <w:rFonts w:cs="Calibri"/>
          <w:sz w:val="24"/>
          <w:szCs w:val="24"/>
        </w:rPr>
        <w:lastRenderedPageBreak/>
        <w:t>2.</w:t>
      </w:r>
      <w:r>
        <w:rPr>
          <w:rFonts w:cs="Calibri"/>
          <w:sz w:val="24"/>
          <w:szCs w:val="24"/>
        </w:rPr>
        <w:br/>
      </w:r>
      <w:r w:rsidRPr="002E6900">
        <w:rPr>
          <w:rFonts w:cs="Calibri"/>
          <w:sz w:val="24"/>
          <w:szCs w:val="24"/>
        </w:rPr>
        <w:t>Er bestaat geen wettelijke definitie van de verbeurdverklaring, de regels die teruggevonden worden in het art. 42 e.v. S.W. bepalen enkel welke goederen kunnen worden geconfisqueerd, voor welke misdrijven en in welke mate indien het goederen betreft die toebehoren aan derden.</w:t>
      </w:r>
    </w:p>
    <w:p w14:paraId="028187FD" w14:textId="77777777" w:rsidR="00611398" w:rsidRPr="002E6900" w:rsidRDefault="00611398" w:rsidP="00611398">
      <w:pPr>
        <w:jc w:val="both"/>
        <w:rPr>
          <w:rFonts w:cs="Calibri"/>
          <w:sz w:val="24"/>
          <w:szCs w:val="24"/>
        </w:rPr>
      </w:pPr>
      <w:r w:rsidRPr="002E6900">
        <w:rPr>
          <w:rFonts w:cs="Calibri"/>
          <w:sz w:val="24"/>
          <w:szCs w:val="24"/>
        </w:rPr>
        <w:t>Het Hof van Cassatie heeft enige tijd geleden een korte en bondige poging ondernomen om een algemene omschrijving van het begrip verbeurdverklaring te formuleren :</w:t>
      </w:r>
    </w:p>
    <w:p w14:paraId="3E4AB02E" w14:textId="77777777" w:rsidR="00611398" w:rsidRPr="002E6900" w:rsidRDefault="00611398" w:rsidP="00611398">
      <w:pPr>
        <w:ind w:left="720"/>
        <w:jc w:val="both"/>
        <w:rPr>
          <w:rFonts w:cs="Calibri"/>
          <w:sz w:val="24"/>
          <w:szCs w:val="24"/>
        </w:rPr>
      </w:pPr>
      <w:r w:rsidRPr="002E6900">
        <w:rPr>
          <w:rFonts w:cs="Calibri"/>
          <w:i/>
          <w:sz w:val="24"/>
          <w:szCs w:val="24"/>
          <w:lang w:val="fr-BE"/>
        </w:rPr>
        <w:t xml:space="preserve">“La confiscation est une peine consistant dans le retrait, par voie d’autorité, de la chose confisquée du patrimoine du condamné.” </w:t>
      </w:r>
      <w:r w:rsidRPr="002E6900">
        <w:rPr>
          <w:rFonts w:cs="Calibri"/>
          <w:sz w:val="24"/>
          <w:szCs w:val="24"/>
        </w:rPr>
        <w:t>(</w:t>
      </w:r>
      <w:r w:rsidRPr="002E6900">
        <w:rPr>
          <w:rStyle w:val="Voetnootmarkering"/>
          <w:rFonts w:cs="Calibri"/>
          <w:sz w:val="24"/>
          <w:szCs w:val="24"/>
        </w:rPr>
        <w:footnoteReference w:id="1"/>
      </w:r>
      <w:r w:rsidRPr="002E6900">
        <w:rPr>
          <w:rFonts w:cs="Calibri"/>
          <w:sz w:val="24"/>
          <w:szCs w:val="24"/>
        </w:rPr>
        <w:t>)</w:t>
      </w:r>
    </w:p>
    <w:p w14:paraId="5255A230" w14:textId="77777777" w:rsidR="00611398" w:rsidRPr="002E6900" w:rsidRDefault="00611398" w:rsidP="00611398">
      <w:pPr>
        <w:jc w:val="both"/>
        <w:rPr>
          <w:rFonts w:cs="Calibri"/>
          <w:sz w:val="24"/>
          <w:szCs w:val="24"/>
        </w:rPr>
      </w:pPr>
      <w:r w:rsidRPr="002E6900">
        <w:rPr>
          <w:rFonts w:cs="Calibri"/>
          <w:sz w:val="24"/>
          <w:szCs w:val="24"/>
        </w:rPr>
        <w:t xml:space="preserve">Het concept verbeurdverklaring is evenwel ruimer dan een straf die erin bestaat de verbeurdverklaarde zaak </w:t>
      </w:r>
      <w:proofErr w:type="spellStart"/>
      <w:r w:rsidRPr="002E6900">
        <w:rPr>
          <w:rFonts w:cs="Calibri"/>
          <w:sz w:val="24"/>
          <w:szCs w:val="24"/>
        </w:rPr>
        <w:t>gezagshalve</w:t>
      </w:r>
      <w:proofErr w:type="spellEnd"/>
      <w:r w:rsidRPr="002E6900">
        <w:rPr>
          <w:rFonts w:cs="Calibri"/>
          <w:sz w:val="24"/>
          <w:szCs w:val="24"/>
        </w:rPr>
        <w:t xml:space="preserve"> te onttrekken aan het vermogen van de veroordeelde.</w:t>
      </w:r>
    </w:p>
    <w:p w14:paraId="3A3BF53D" w14:textId="77777777" w:rsidR="00611398" w:rsidRPr="002E6900" w:rsidRDefault="00611398" w:rsidP="00611398">
      <w:pPr>
        <w:jc w:val="both"/>
        <w:rPr>
          <w:rFonts w:cs="Calibri"/>
          <w:sz w:val="24"/>
          <w:szCs w:val="24"/>
        </w:rPr>
      </w:pPr>
      <w:r w:rsidRPr="002E6900">
        <w:rPr>
          <w:rFonts w:cs="Calibri"/>
          <w:sz w:val="24"/>
          <w:szCs w:val="24"/>
        </w:rPr>
        <w:t>Naar luid van de heer Francis is de verbeurdverklaring te definiëren als (</w:t>
      </w:r>
      <w:r w:rsidRPr="002E6900">
        <w:rPr>
          <w:rStyle w:val="Voetnootmarkering"/>
          <w:rFonts w:cs="Calibri"/>
          <w:sz w:val="24"/>
          <w:szCs w:val="24"/>
        </w:rPr>
        <w:footnoteReference w:id="2"/>
      </w:r>
      <w:r w:rsidRPr="002E6900">
        <w:rPr>
          <w:rFonts w:cs="Calibri"/>
          <w:sz w:val="24"/>
          <w:szCs w:val="24"/>
        </w:rPr>
        <w:t>) :</w:t>
      </w:r>
    </w:p>
    <w:p w14:paraId="293BEAEC" w14:textId="77777777" w:rsidR="00611398" w:rsidRPr="002E6900" w:rsidRDefault="00611398" w:rsidP="00611398">
      <w:pPr>
        <w:ind w:left="720"/>
        <w:jc w:val="both"/>
        <w:rPr>
          <w:rFonts w:cs="Calibri"/>
          <w:i/>
          <w:sz w:val="24"/>
          <w:szCs w:val="24"/>
        </w:rPr>
      </w:pPr>
      <w:r w:rsidRPr="002E6900">
        <w:rPr>
          <w:rFonts w:cs="Calibri"/>
          <w:i/>
          <w:sz w:val="24"/>
          <w:szCs w:val="24"/>
        </w:rPr>
        <w:t>“een sanctie die door de rechter wordt opgelegd aan een persoon naar aanleiding van een misdrijf, die tot doel heeft om de eigendom over bepaalde zaken te ontnemen aan het vermogen van, in de regel, die persoon, of om hem te verplichten vanuit zijn vermogen een geldsom te betalen die de rechter bepaald als de tegenwaarde van deze zaken, en die deze zaken of geldsommen doet toekomen aan de Staat, aan de door de wet aangeduide instanties of aan door de rechter aangeduide personen.”</w:t>
      </w:r>
    </w:p>
    <w:p w14:paraId="7AB01754" w14:textId="77777777" w:rsidR="00611398" w:rsidRPr="002E6900" w:rsidRDefault="00611398" w:rsidP="00611398">
      <w:pPr>
        <w:jc w:val="both"/>
        <w:rPr>
          <w:rFonts w:cs="Calibri"/>
          <w:sz w:val="24"/>
          <w:szCs w:val="24"/>
        </w:rPr>
      </w:pPr>
      <w:r w:rsidRPr="002E6900">
        <w:rPr>
          <w:rFonts w:cs="Calibri"/>
          <w:sz w:val="24"/>
          <w:szCs w:val="24"/>
        </w:rPr>
        <w:t>Deze twee definities omvatten zo ongeveer de twee uitersten van het spectrum.</w:t>
      </w:r>
    </w:p>
    <w:p w14:paraId="507BE92D" w14:textId="5443BB7B" w:rsidR="00611398" w:rsidRPr="002E6900" w:rsidRDefault="00611398" w:rsidP="00611398">
      <w:pPr>
        <w:jc w:val="both"/>
        <w:rPr>
          <w:rFonts w:cs="Calibri"/>
          <w:sz w:val="24"/>
          <w:szCs w:val="24"/>
        </w:rPr>
      </w:pPr>
    </w:p>
    <w:p w14:paraId="3CAD4056" w14:textId="538DEF02" w:rsidR="00611398" w:rsidRPr="002E6900" w:rsidRDefault="00611398" w:rsidP="00611398">
      <w:pPr>
        <w:jc w:val="both"/>
        <w:rPr>
          <w:rFonts w:cs="Calibri"/>
          <w:sz w:val="24"/>
          <w:szCs w:val="24"/>
        </w:rPr>
      </w:pPr>
      <w:r>
        <w:rPr>
          <w:rFonts w:cs="Calibri"/>
          <w:sz w:val="24"/>
          <w:szCs w:val="24"/>
        </w:rPr>
        <w:t>3.</w:t>
      </w:r>
      <w:r>
        <w:rPr>
          <w:rFonts w:cs="Calibri"/>
          <w:sz w:val="24"/>
          <w:szCs w:val="24"/>
        </w:rPr>
        <w:br/>
      </w:r>
      <w:r w:rsidRPr="002E6900">
        <w:rPr>
          <w:rFonts w:cs="Calibri"/>
          <w:sz w:val="24"/>
          <w:szCs w:val="24"/>
        </w:rPr>
        <w:t xml:space="preserve">Gelet op het feit dat zij verbonden is aan een misdrijf, dient de </w:t>
      </w:r>
      <w:r w:rsidRPr="002E6900">
        <w:rPr>
          <w:rFonts w:cs="Calibri"/>
          <w:sz w:val="24"/>
          <w:szCs w:val="24"/>
          <w:u w:val="single"/>
        </w:rPr>
        <w:t>verbeurdverklaring als straf aan de beginselen van het materieel strafrecht te voldoen</w:t>
      </w:r>
      <w:r w:rsidRPr="002E6900">
        <w:rPr>
          <w:rFonts w:cs="Calibri"/>
          <w:sz w:val="24"/>
          <w:szCs w:val="24"/>
        </w:rPr>
        <w:t>.(</w:t>
      </w:r>
      <w:r w:rsidRPr="002E6900">
        <w:rPr>
          <w:rStyle w:val="Voetnootmarkering"/>
          <w:rFonts w:cs="Calibri"/>
          <w:sz w:val="24"/>
          <w:szCs w:val="24"/>
        </w:rPr>
        <w:footnoteReference w:id="3"/>
      </w:r>
      <w:r w:rsidRPr="002E6900">
        <w:rPr>
          <w:rFonts w:cs="Calibri"/>
          <w:sz w:val="24"/>
          <w:szCs w:val="24"/>
        </w:rPr>
        <w:t>)</w:t>
      </w:r>
    </w:p>
    <w:p w14:paraId="5D89E6AD" w14:textId="77777777" w:rsidR="00611398" w:rsidRPr="002E6900" w:rsidRDefault="00611398" w:rsidP="00611398">
      <w:pPr>
        <w:jc w:val="both"/>
        <w:rPr>
          <w:rFonts w:cs="Calibri"/>
          <w:sz w:val="24"/>
          <w:szCs w:val="24"/>
        </w:rPr>
      </w:pPr>
      <w:r w:rsidRPr="002E6900">
        <w:rPr>
          <w:rFonts w:cs="Calibri"/>
          <w:sz w:val="24"/>
          <w:szCs w:val="24"/>
        </w:rPr>
        <w:t xml:space="preserve">De verbeurdverklaring is uit zijn aard een </w:t>
      </w:r>
      <w:r w:rsidRPr="002E6900">
        <w:rPr>
          <w:rFonts w:cs="Calibri"/>
          <w:sz w:val="24"/>
          <w:szCs w:val="24"/>
          <w:u w:val="single"/>
        </w:rPr>
        <w:t>bijkomende straf</w:t>
      </w:r>
      <w:r w:rsidRPr="002E6900">
        <w:rPr>
          <w:rFonts w:cs="Calibri"/>
          <w:sz w:val="24"/>
          <w:szCs w:val="24"/>
        </w:rPr>
        <w:t>, ze kan niet als een afzonderlijke straf worden opgelegd maar enkel in combinatie met een hoofdstraf.  Met andere woorden, zonder een veroordeling tot een hoofdstraf kan er in een vonnis of arrest nooit sprake zijn van verbeurdverklaring.</w:t>
      </w:r>
    </w:p>
    <w:p w14:paraId="0E6366F9" w14:textId="77777777" w:rsidR="00611398" w:rsidRPr="002E6900" w:rsidRDefault="00611398" w:rsidP="00611398">
      <w:pPr>
        <w:jc w:val="both"/>
        <w:rPr>
          <w:rFonts w:cs="Calibri"/>
          <w:sz w:val="24"/>
          <w:szCs w:val="24"/>
        </w:rPr>
      </w:pPr>
      <w:r w:rsidRPr="002E6900">
        <w:rPr>
          <w:rFonts w:cs="Calibri"/>
          <w:sz w:val="24"/>
          <w:szCs w:val="24"/>
        </w:rPr>
        <w:t xml:space="preserve">Zoals supra onder de middelen zoals uiteengezet onmiskenbaar aangetoond is geworden, wordt </w:t>
      </w:r>
      <w:r w:rsidRPr="002E6900">
        <w:rPr>
          <w:rFonts w:cs="Calibri"/>
          <w:sz w:val="24"/>
          <w:szCs w:val="24"/>
          <w:u w:val="single"/>
        </w:rPr>
        <w:t>enige strafbare gedraging in hoofde concluant niet bewezen</w:t>
      </w:r>
      <w:r w:rsidRPr="002E6900">
        <w:rPr>
          <w:rFonts w:cs="Calibri"/>
          <w:sz w:val="24"/>
          <w:szCs w:val="24"/>
        </w:rPr>
        <w:t xml:space="preserve"> waardoor de vrijspraak voor de hem </w:t>
      </w:r>
      <w:proofErr w:type="spellStart"/>
      <w:r w:rsidRPr="002E6900">
        <w:rPr>
          <w:rFonts w:cs="Calibri"/>
          <w:sz w:val="24"/>
          <w:szCs w:val="24"/>
        </w:rPr>
        <w:t>tenlaste</w:t>
      </w:r>
      <w:proofErr w:type="spellEnd"/>
      <w:r w:rsidRPr="002E6900">
        <w:rPr>
          <w:rFonts w:cs="Calibri"/>
          <w:sz w:val="24"/>
          <w:szCs w:val="24"/>
        </w:rPr>
        <w:t xml:space="preserve"> gelegde feiten zich opdringt.</w:t>
      </w:r>
    </w:p>
    <w:p w14:paraId="1672160F" w14:textId="77777777" w:rsidR="00611398" w:rsidRPr="002E6900" w:rsidRDefault="00611398" w:rsidP="00611398">
      <w:pPr>
        <w:jc w:val="both"/>
        <w:rPr>
          <w:rFonts w:cs="Calibri"/>
          <w:sz w:val="24"/>
          <w:szCs w:val="24"/>
        </w:rPr>
      </w:pPr>
      <w:r w:rsidRPr="002E6900">
        <w:rPr>
          <w:rFonts w:cs="Calibri"/>
          <w:sz w:val="24"/>
          <w:szCs w:val="24"/>
        </w:rPr>
        <w:t>Bij gebreke aan een hoofdstraf, is het derhalve dan ook absoluut onmogelijk om concluant de bijkomende straf van een verbeurdverklaring op te leggen.</w:t>
      </w:r>
    </w:p>
    <w:p w14:paraId="6A13D483" w14:textId="16C4891C" w:rsidR="00611398" w:rsidRPr="002E6900" w:rsidRDefault="00611398" w:rsidP="00611398">
      <w:pPr>
        <w:jc w:val="both"/>
        <w:rPr>
          <w:rFonts w:cs="Calibri"/>
          <w:bCs/>
          <w:sz w:val="24"/>
          <w:szCs w:val="24"/>
        </w:rPr>
      </w:pPr>
    </w:p>
    <w:p w14:paraId="15CC886C" w14:textId="2D6CEAF0" w:rsidR="00611398" w:rsidRPr="002E6900" w:rsidRDefault="00611398" w:rsidP="00611398">
      <w:pPr>
        <w:jc w:val="both"/>
        <w:rPr>
          <w:rFonts w:cs="Calibri"/>
          <w:sz w:val="24"/>
          <w:szCs w:val="24"/>
        </w:rPr>
      </w:pPr>
      <w:r>
        <w:rPr>
          <w:rFonts w:cs="Calibri"/>
          <w:sz w:val="24"/>
          <w:szCs w:val="24"/>
        </w:rPr>
        <w:lastRenderedPageBreak/>
        <w:t>4.</w:t>
      </w:r>
      <w:r>
        <w:rPr>
          <w:rFonts w:cs="Calibri"/>
          <w:sz w:val="24"/>
          <w:szCs w:val="24"/>
        </w:rPr>
        <w:br/>
      </w:r>
      <w:r w:rsidRPr="002E6900">
        <w:rPr>
          <w:rFonts w:cs="Calibri"/>
          <w:sz w:val="24"/>
          <w:szCs w:val="24"/>
        </w:rPr>
        <w:t>Maar er is meer;</w:t>
      </w:r>
    </w:p>
    <w:p w14:paraId="629A611D" w14:textId="7B24F922" w:rsidR="00611398" w:rsidRPr="002E6900" w:rsidRDefault="00611398" w:rsidP="00611398">
      <w:pPr>
        <w:jc w:val="both"/>
        <w:rPr>
          <w:rFonts w:cs="Calibri"/>
          <w:sz w:val="24"/>
          <w:szCs w:val="24"/>
        </w:rPr>
      </w:pPr>
      <w:r w:rsidRPr="002E6900">
        <w:rPr>
          <w:rFonts w:cs="Calibri"/>
          <w:sz w:val="24"/>
          <w:szCs w:val="24"/>
        </w:rPr>
        <w:t>Bovendien zijn bij concluant geen exuberante geldsommen aangetroffen, die hij niet kan verklaren en duiden.</w:t>
      </w:r>
    </w:p>
    <w:p w14:paraId="0234EC87" w14:textId="77777777" w:rsidR="00611398" w:rsidRPr="002E6900" w:rsidRDefault="00611398" w:rsidP="00611398">
      <w:pPr>
        <w:jc w:val="both"/>
        <w:rPr>
          <w:rFonts w:cs="Calibri"/>
          <w:sz w:val="24"/>
          <w:szCs w:val="24"/>
        </w:rPr>
      </w:pPr>
      <w:r w:rsidRPr="002E6900">
        <w:rPr>
          <w:rFonts w:cs="Calibri"/>
          <w:sz w:val="24"/>
          <w:szCs w:val="24"/>
        </w:rPr>
        <w:t>Concluant beschikt voor het overige ook niet over aanzienlijke vermogens of onroerende goederen in het buitenland.</w:t>
      </w:r>
    </w:p>
    <w:p w14:paraId="4362A234" w14:textId="77777777" w:rsidR="00611398" w:rsidRPr="002E6900" w:rsidRDefault="00611398" w:rsidP="00611398">
      <w:pPr>
        <w:jc w:val="both"/>
        <w:rPr>
          <w:rFonts w:cs="Calibri"/>
          <w:sz w:val="24"/>
          <w:szCs w:val="24"/>
        </w:rPr>
      </w:pPr>
      <w:r w:rsidRPr="002E6900">
        <w:rPr>
          <w:rFonts w:cs="Calibri"/>
          <w:sz w:val="24"/>
          <w:szCs w:val="24"/>
        </w:rPr>
        <w:t xml:space="preserve">Uit het strafdossier blijkt ook nergens dat concluant een riante levensstijl zou hebben met luxewagens of andere luxegoederen …. De inbeslaggenomen handtassen en dergelijke van de echtgenote van concluant liggen in de lijn met wat een vrouw met behoorlijk inkomen op tientallen jaren verzameld. </w:t>
      </w:r>
    </w:p>
    <w:p w14:paraId="39F57059" w14:textId="6177E579" w:rsidR="00611398" w:rsidRPr="002E6900" w:rsidRDefault="00611398" w:rsidP="00611398">
      <w:pPr>
        <w:jc w:val="both"/>
        <w:rPr>
          <w:rFonts w:cs="Calibri"/>
          <w:sz w:val="24"/>
          <w:szCs w:val="24"/>
        </w:rPr>
      </w:pPr>
    </w:p>
    <w:p w14:paraId="17E3CD71" w14:textId="3F21CF38" w:rsidR="00611398" w:rsidRPr="002E6900" w:rsidRDefault="00611398" w:rsidP="00611398">
      <w:pPr>
        <w:jc w:val="both"/>
        <w:rPr>
          <w:rFonts w:cs="Calibri"/>
          <w:sz w:val="24"/>
          <w:szCs w:val="24"/>
        </w:rPr>
      </w:pPr>
      <w:r>
        <w:rPr>
          <w:rFonts w:cs="Calibri"/>
          <w:sz w:val="24"/>
          <w:szCs w:val="24"/>
        </w:rPr>
        <w:t>5.</w:t>
      </w:r>
      <w:r>
        <w:rPr>
          <w:rFonts w:cs="Calibri"/>
          <w:sz w:val="24"/>
          <w:szCs w:val="24"/>
        </w:rPr>
        <w:br/>
      </w:r>
      <w:r w:rsidRPr="002E6900">
        <w:rPr>
          <w:rFonts w:cs="Calibri"/>
          <w:sz w:val="24"/>
          <w:szCs w:val="24"/>
        </w:rPr>
        <w:t xml:space="preserve">De mogelijke verbeurdverklaring zou dus geënt kunnen worden op art. 42, 3° Sw., als illegaal vermogensvoordeel van de tenlastelegging “voorbereidende handelingen strekkende tot de invoer van verdovende middelen” </w:t>
      </w:r>
      <w:proofErr w:type="spellStart"/>
      <w:r w:rsidRPr="002E6900">
        <w:rPr>
          <w:rFonts w:cs="Calibri"/>
          <w:sz w:val="24"/>
          <w:szCs w:val="24"/>
        </w:rPr>
        <w:t>an</w:t>
      </w:r>
      <w:proofErr w:type="spellEnd"/>
      <w:r w:rsidRPr="002E6900">
        <w:rPr>
          <w:rFonts w:cs="Calibri"/>
          <w:sz w:val="24"/>
          <w:szCs w:val="24"/>
        </w:rPr>
        <w:t xml:space="preserve"> </w:t>
      </w:r>
      <w:proofErr w:type="spellStart"/>
      <w:r w:rsidRPr="002E6900">
        <w:rPr>
          <w:rFonts w:cs="Calibri"/>
          <w:sz w:val="24"/>
          <w:szCs w:val="24"/>
        </w:rPr>
        <w:t>sich</w:t>
      </w:r>
      <w:proofErr w:type="spellEnd"/>
      <w:r w:rsidRPr="002E6900">
        <w:rPr>
          <w:rFonts w:cs="Calibri"/>
          <w:sz w:val="24"/>
          <w:szCs w:val="24"/>
        </w:rPr>
        <w:t>, los van de tenlastelegging witwas.</w:t>
      </w:r>
    </w:p>
    <w:p w14:paraId="194D29FE" w14:textId="77777777" w:rsidR="00611398" w:rsidRPr="002E6900" w:rsidRDefault="00611398" w:rsidP="00611398">
      <w:pPr>
        <w:jc w:val="both"/>
        <w:rPr>
          <w:rFonts w:cs="Calibri"/>
          <w:sz w:val="24"/>
          <w:szCs w:val="24"/>
        </w:rPr>
      </w:pPr>
      <w:r w:rsidRPr="002E6900">
        <w:rPr>
          <w:rFonts w:cs="Calibri"/>
          <w:sz w:val="24"/>
          <w:szCs w:val="24"/>
        </w:rPr>
        <w:t>In dat geval betreft het een ‘bijzondere verbeurdverklaring’.</w:t>
      </w:r>
    </w:p>
    <w:p w14:paraId="4050A2C1" w14:textId="77777777" w:rsidR="00611398" w:rsidRPr="002E6900" w:rsidRDefault="00611398" w:rsidP="00611398">
      <w:pPr>
        <w:jc w:val="both"/>
        <w:rPr>
          <w:rFonts w:cs="Calibri"/>
          <w:sz w:val="24"/>
          <w:szCs w:val="24"/>
        </w:rPr>
      </w:pPr>
      <w:r w:rsidRPr="002E6900">
        <w:rPr>
          <w:rFonts w:cs="Calibri"/>
          <w:sz w:val="24"/>
          <w:szCs w:val="24"/>
        </w:rPr>
        <w:t>Dat de tekst van artikel 42, 3° Sw. als volgt luidt:</w:t>
      </w:r>
    </w:p>
    <w:p w14:paraId="7080A9C4" w14:textId="77777777" w:rsidR="00611398" w:rsidRPr="002E6900" w:rsidRDefault="00611398" w:rsidP="00611398">
      <w:pPr>
        <w:jc w:val="both"/>
        <w:rPr>
          <w:rFonts w:cs="Calibri"/>
          <w:b/>
          <w:sz w:val="24"/>
          <w:szCs w:val="24"/>
        </w:rPr>
      </w:pPr>
      <w:r w:rsidRPr="002E6900">
        <w:rPr>
          <w:rFonts w:cs="Calibri"/>
          <w:sz w:val="24"/>
          <w:szCs w:val="24"/>
        </w:rPr>
        <w:tab/>
      </w:r>
      <w:r w:rsidRPr="002E6900">
        <w:rPr>
          <w:rFonts w:cs="Calibri"/>
          <w:b/>
          <w:sz w:val="24"/>
          <w:szCs w:val="24"/>
        </w:rPr>
        <w:t>Art.42</w:t>
      </w:r>
    </w:p>
    <w:p w14:paraId="12FDB460" w14:textId="77777777" w:rsidR="00611398" w:rsidRPr="002E6900" w:rsidRDefault="00611398" w:rsidP="00611398">
      <w:pPr>
        <w:jc w:val="both"/>
        <w:rPr>
          <w:rFonts w:cs="Calibri"/>
          <w:sz w:val="24"/>
          <w:szCs w:val="24"/>
        </w:rPr>
      </w:pPr>
      <w:r w:rsidRPr="002E6900">
        <w:rPr>
          <w:rFonts w:cs="Calibri"/>
          <w:b/>
          <w:sz w:val="24"/>
          <w:szCs w:val="24"/>
        </w:rPr>
        <w:tab/>
      </w:r>
      <w:r w:rsidRPr="002E6900">
        <w:rPr>
          <w:rFonts w:cs="Calibri"/>
          <w:sz w:val="24"/>
          <w:szCs w:val="24"/>
        </w:rPr>
        <w:t xml:space="preserve">Bijzondere verbeurdverklaring wordt toegepast: </w:t>
      </w:r>
    </w:p>
    <w:p w14:paraId="29FD7735" w14:textId="77777777" w:rsidR="00611398" w:rsidRPr="002E6900" w:rsidRDefault="00611398" w:rsidP="00611398">
      <w:pPr>
        <w:jc w:val="both"/>
        <w:rPr>
          <w:rFonts w:cs="Calibri"/>
          <w:sz w:val="24"/>
          <w:szCs w:val="24"/>
        </w:rPr>
      </w:pPr>
      <w:r w:rsidRPr="002E6900">
        <w:rPr>
          <w:rFonts w:cs="Calibri"/>
          <w:sz w:val="24"/>
          <w:szCs w:val="24"/>
        </w:rPr>
        <w:tab/>
        <w:t>(…)</w:t>
      </w:r>
    </w:p>
    <w:p w14:paraId="355FC6EB" w14:textId="0F1772AF" w:rsidR="00611398" w:rsidRPr="002E6900" w:rsidRDefault="00611398" w:rsidP="00611398">
      <w:pPr>
        <w:ind w:left="709"/>
        <w:jc w:val="both"/>
        <w:rPr>
          <w:rFonts w:cs="Calibri"/>
          <w:sz w:val="24"/>
          <w:szCs w:val="24"/>
        </w:rPr>
      </w:pPr>
      <w:r w:rsidRPr="002E6900">
        <w:rPr>
          <w:rFonts w:cs="Calibri"/>
          <w:b/>
          <w:sz w:val="24"/>
          <w:szCs w:val="24"/>
        </w:rPr>
        <w:t>3°</w:t>
      </w:r>
      <w:r w:rsidRPr="002E6900">
        <w:rPr>
          <w:rFonts w:cs="Calibri"/>
          <w:sz w:val="24"/>
          <w:szCs w:val="24"/>
        </w:rPr>
        <w:t xml:space="preserve"> op de vermogensvoordelen die rechtstreeks uit het misdrijf zijn verkregen, op de goederen en waarden die in de plaats ervan zijn gesteld en op de inkomsten uit de belegde voordelen;</w:t>
      </w:r>
    </w:p>
    <w:p w14:paraId="365EF28C" w14:textId="77777777" w:rsidR="00611398" w:rsidRPr="002E6900" w:rsidRDefault="00611398" w:rsidP="00611398">
      <w:pPr>
        <w:jc w:val="both"/>
        <w:rPr>
          <w:rFonts w:cs="Calibri"/>
          <w:sz w:val="24"/>
          <w:szCs w:val="24"/>
        </w:rPr>
      </w:pPr>
      <w:r w:rsidRPr="002E6900">
        <w:rPr>
          <w:rFonts w:cs="Calibri"/>
          <w:sz w:val="24"/>
          <w:szCs w:val="24"/>
        </w:rPr>
        <w:t>Dat de tekst van art.43bis Sw. als volgt luidt:</w:t>
      </w:r>
    </w:p>
    <w:p w14:paraId="738BC224" w14:textId="77777777" w:rsidR="00611398" w:rsidRPr="002E6900" w:rsidRDefault="00611398" w:rsidP="00611398">
      <w:pPr>
        <w:jc w:val="both"/>
        <w:rPr>
          <w:rFonts w:cs="Calibri"/>
          <w:b/>
          <w:bCs/>
          <w:sz w:val="24"/>
          <w:szCs w:val="24"/>
        </w:rPr>
      </w:pPr>
      <w:r w:rsidRPr="002E6900">
        <w:rPr>
          <w:rFonts w:cs="Calibri"/>
          <w:b/>
          <w:bCs/>
          <w:sz w:val="24"/>
          <w:szCs w:val="24"/>
        </w:rPr>
        <w:t>  </w:t>
      </w:r>
      <w:r w:rsidRPr="002E6900">
        <w:rPr>
          <w:rFonts w:cs="Calibri"/>
          <w:b/>
          <w:bCs/>
          <w:sz w:val="24"/>
          <w:szCs w:val="24"/>
        </w:rPr>
        <w:tab/>
      </w:r>
      <w:hyperlink r:id="rId8" w:anchor="Art.43" w:history="1">
        <w:r w:rsidRPr="002E6900">
          <w:rPr>
            <w:rStyle w:val="Hyperlink"/>
            <w:rFonts w:cs="Calibri"/>
            <w:b/>
            <w:bCs/>
            <w:sz w:val="24"/>
            <w:szCs w:val="24"/>
          </w:rPr>
          <w:t>Art.</w:t>
        </w:r>
      </w:hyperlink>
      <w:bookmarkStart w:id="1" w:name="Art.43bis"/>
      <w:bookmarkEnd w:id="1"/>
      <w:r w:rsidRPr="002E6900">
        <w:rPr>
          <w:rFonts w:cs="Calibri"/>
          <w:b/>
          <w:bCs/>
          <w:sz w:val="24"/>
          <w:szCs w:val="24"/>
        </w:rPr>
        <w:t xml:space="preserve"> </w:t>
      </w:r>
      <w:hyperlink r:id="rId9" w:anchor="Art.43ter" w:history="1">
        <w:r w:rsidRPr="002E6900">
          <w:rPr>
            <w:rStyle w:val="Hyperlink"/>
            <w:rFonts w:cs="Calibri"/>
            <w:b/>
            <w:bCs/>
            <w:sz w:val="24"/>
            <w:szCs w:val="24"/>
          </w:rPr>
          <w:t>43bis</w:t>
        </w:r>
      </w:hyperlink>
      <w:r w:rsidRPr="002E6900">
        <w:rPr>
          <w:rFonts w:cs="Calibri"/>
          <w:b/>
          <w:bCs/>
          <w:sz w:val="24"/>
          <w:szCs w:val="24"/>
        </w:rPr>
        <w:t xml:space="preserve">. </w:t>
      </w:r>
    </w:p>
    <w:p w14:paraId="53A3E4C0" w14:textId="77777777" w:rsidR="00611398" w:rsidRPr="002E6900" w:rsidRDefault="00611398" w:rsidP="00611398">
      <w:pPr>
        <w:ind w:left="709"/>
        <w:rPr>
          <w:rFonts w:cs="Calibri"/>
          <w:bCs/>
          <w:sz w:val="24"/>
          <w:szCs w:val="24"/>
        </w:rPr>
      </w:pPr>
      <w:r w:rsidRPr="002E6900">
        <w:rPr>
          <w:rFonts w:cs="Calibri"/>
          <w:bCs/>
          <w:sz w:val="24"/>
          <w:szCs w:val="24"/>
        </w:rPr>
        <w:t>Bijzondere verbeurdverklaring toepasselijk op de zaken bedoeld in artikel 42, 3°, kan door de rechter in elk geval worden uitgesproken, maar slechts voor zover zij door de procureur des Konings schriftelijk wordt gevorderd</w:t>
      </w:r>
    </w:p>
    <w:p w14:paraId="518B7563" w14:textId="785D6396" w:rsidR="00611398" w:rsidRPr="002E6900" w:rsidRDefault="00611398" w:rsidP="00611398">
      <w:pPr>
        <w:ind w:left="709"/>
        <w:rPr>
          <w:rFonts w:cs="Calibri"/>
          <w:sz w:val="24"/>
          <w:szCs w:val="24"/>
        </w:rPr>
      </w:pPr>
      <w:r w:rsidRPr="002E6900">
        <w:rPr>
          <w:rFonts w:cs="Calibri"/>
          <w:bCs/>
          <w:sz w:val="24"/>
          <w:szCs w:val="24"/>
        </w:rPr>
        <w:t>Indien de zaken niet kunnen worden gevonden in het vermogen van de veroordeelde, raamt de rechter de geldwaarde ervan en heeft de verbeurdverklaring betrekking op een daarmee overeenstemmend bedrag.</w:t>
      </w:r>
      <w:r w:rsidRPr="002E6900">
        <w:rPr>
          <w:rFonts w:cs="Calibri"/>
          <w:bCs/>
          <w:sz w:val="24"/>
          <w:szCs w:val="24"/>
        </w:rPr>
        <w:br/>
        <w:t> (…)</w:t>
      </w:r>
    </w:p>
    <w:p w14:paraId="6E23366C" w14:textId="77777777" w:rsidR="00611398" w:rsidRPr="002E6900" w:rsidRDefault="00611398" w:rsidP="00611398">
      <w:pPr>
        <w:jc w:val="both"/>
        <w:rPr>
          <w:rFonts w:cs="Calibri"/>
          <w:sz w:val="24"/>
          <w:szCs w:val="24"/>
          <w:lang w:val="nl-NL"/>
        </w:rPr>
      </w:pPr>
      <w:bookmarkStart w:id="2" w:name="_Hlk52983997"/>
      <w:r w:rsidRPr="002E6900">
        <w:rPr>
          <w:rFonts w:cs="Calibri"/>
          <w:sz w:val="24"/>
          <w:szCs w:val="24"/>
          <w:lang w:val="nl-NL"/>
        </w:rPr>
        <w:t>Dat aldus uit voormelde wetteksten blijkt dat indien het parket een vordering tot verbeurdverklaring van vermogensvoordelen wenst in te stellen, zij deze vordering schriftelijk dient te stellen én dat zij dan de bewijslast draagt dat de goederen een criminele oorsprong hebben;</w:t>
      </w:r>
    </w:p>
    <w:bookmarkEnd w:id="2"/>
    <w:p w14:paraId="57EBB6CF" w14:textId="450DAA9D" w:rsidR="00611398" w:rsidRPr="002E6900" w:rsidRDefault="00611398" w:rsidP="00611398">
      <w:pPr>
        <w:jc w:val="both"/>
        <w:rPr>
          <w:rFonts w:cs="Calibri"/>
          <w:sz w:val="24"/>
          <w:szCs w:val="24"/>
          <w:lang w:val="nl-NL"/>
        </w:rPr>
      </w:pPr>
      <w:r w:rsidRPr="002E6900">
        <w:rPr>
          <w:rFonts w:cs="Calibri"/>
          <w:sz w:val="24"/>
          <w:szCs w:val="24"/>
          <w:lang w:val="nl-NL"/>
        </w:rPr>
        <w:lastRenderedPageBreak/>
        <w:t>Dat het Hof van cassatie dienaangaande reeds geoordeeld heeft dat de verbeurdverklaring van de in art. 42, 3° Sw. vermelde vermogensvoordelen die rechtstreeks uit het misdrijf zijn verkregen, op de goederen en waarden die in de plaats ervan zijn gesteld, en op de inkomsten uit de belegde voordelen, een straf</w:t>
      </w:r>
      <w:r w:rsidR="00EA77A3">
        <w:rPr>
          <w:rFonts w:cs="Calibri"/>
          <w:sz w:val="24"/>
          <w:szCs w:val="24"/>
          <w:lang w:val="nl-NL"/>
        </w:rPr>
        <w:t xml:space="preserve"> is</w:t>
      </w:r>
      <w:r w:rsidRPr="002E6900">
        <w:rPr>
          <w:rFonts w:cs="Calibri"/>
          <w:sz w:val="24"/>
          <w:szCs w:val="24"/>
          <w:lang w:val="nl-NL"/>
        </w:rPr>
        <w:t xml:space="preserve"> die wordt uitgesproken tegen de beklaagde die wordt veroordeeld voor het misdrijf dal de vermogensvoordelen heeft voortgebracht</w:t>
      </w:r>
      <w:r w:rsidR="00EA77A3">
        <w:rPr>
          <w:rFonts w:cs="Calibri"/>
          <w:sz w:val="24"/>
          <w:szCs w:val="24"/>
          <w:lang w:val="nl-NL"/>
        </w:rPr>
        <w:t>.</w:t>
      </w:r>
      <w:r w:rsidR="00EA77A3">
        <w:rPr>
          <w:rStyle w:val="Voetnootmarkering"/>
          <w:rFonts w:cs="Calibri"/>
          <w:sz w:val="24"/>
          <w:szCs w:val="24"/>
          <w:lang w:val="nl-NL"/>
        </w:rPr>
        <w:footnoteReference w:id="4"/>
      </w:r>
    </w:p>
    <w:p w14:paraId="08D0FA7F" w14:textId="77777777" w:rsidR="00611398" w:rsidRPr="002E6900" w:rsidRDefault="00611398" w:rsidP="00611398">
      <w:pPr>
        <w:pStyle w:val="Tekstzonderopmaak"/>
        <w:jc w:val="both"/>
        <w:rPr>
          <w:rFonts w:ascii="Calibri" w:hAnsi="Calibri" w:cs="Calibri"/>
          <w:sz w:val="24"/>
          <w:szCs w:val="24"/>
        </w:rPr>
      </w:pPr>
      <w:bookmarkStart w:id="3" w:name="_Hlk52984075"/>
      <w:r w:rsidRPr="002E6900">
        <w:rPr>
          <w:rFonts w:ascii="Calibri" w:hAnsi="Calibri" w:cs="Calibri"/>
          <w:sz w:val="24"/>
          <w:szCs w:val="24"/>
        </w:rPr>
        <w:t xml:space="preserve">Dat openbaar ministerie </w:t>
      </w:r>
      <w:proofErr w:type="spellStart"/>
      <w:r w:rsidRPr="002E6900">
        <w:rPr>
          <w:rFonts w:ascii="Calibri" w:hAnsi="Calibri" w:cs="Calibri"/>
          <w:sz w:val="24"/>
          <w:szCs w:val="24"/>
        </w:rPr>
        <w:t>m.h.o.o</w:t>
      </w:r>
      <w:proofErr w:type="spellEnd"/>
      <w:r w:rsidRPr="002E6900">
        <w:rPr>
          <w:rFonts w:ascii="Calibri" w:hAnsi="Calibri" w:cs="Calibri"/>
          <w:sz w:val="24"/>
          <w:szCs w:val="24"/>
        </w:rPr>
        <w:t xml:space="preserve">. een mogelijke verbeurdverklaring geenszins kan aantonen dat de cash stortingen en/of aangetoonde uitgaven gelieerd zouden zijn aan enige opbrengsten van het stellen van voorbereidende handelingen </w:t>
      </w:r>
      <w:proofErr w:type="spellStart"/>
      <w:r w:rsidRPr="002E6900">
        <w:rPr>
          <w:rFonts w:ascii="Calibri" w:hAnsi="Calibri" w:cs="Calibri"/>
          <w:sz w:val="24"/>
          <w:szCs w:val="24"/>
        </w:rPr>
        <w:t>m.h.o.o</w:t>
      </w:r>
      <w:proofErr w:type="spellEnd"/>
      <w:r w:rsidRPr="002E6900">
        <w:rPr>
          <w:rFonts w:ascii="Calibri" w:hAnsi="Calibri" w:cs="Calibri"/>
          <w:sz w:val="24"/>
          <w:szCs w:val="24"/>
        </w:rPr>
        <w:t>. het invoeren van verdovende middelen, en dat het voor wat betreft deze bedragen aldus zou gaan om wederrechtelijke vermogensvoordelen die de concluant frauduleus genoten zou hebben.</w:t>
      </w:r>
    </w:p>
    <w:p w14:paraId="54267EB3" w14:textId="77777777" w:rsidR="00611398" w:rsidRPr="002E6900" w:rsidRDefault="00611398" w:rsidP="00611398">
      <w:pPr>
        <w:pStyle w:val="Tekstzonderopmaak"/>
        <w:jc w:val="both"/>
        <w:rPr>
          <w:rFonts w:ascii="Calibri" w:hAnsi="Calibri" w:cs="Calibri"/>
          <w:sz w:val="24"/>
          <w:szCs w:val="24"/>
        </w:rPr>
      </w:pPr>
    </w:p>
    <w:p w14:paraId="63D78B71" w14:textId="38572D11" w:rsidR="00611398" w:rsidRPr="002E6900" w:rsidRDefault="00611398" w:rsidP="00611398">
      <w:pPr>
        <w:pStyle w:val="Tekstzonderopmaak"/>
        <w:jc w:val="both"/>
        <w:rPr>
          <w:rFonts w:ascii="Calibri" w:hAnsi="Calibri" w:cs="Calibri"/>
          <w:sz w:val="24"/>
          <w:szCs w:val="24"/>
        </w:rPr>
      </w:pPr>
      <w:r w:rsidRPr="002E6900">
        <w:rPr>
          <w:rFonts w:ascii="Calibri" w:hAnsi="Calibri" w:cs="Calibri"/>
          <w:sz w:val="24"/>
          <w:szCs w:val="24"/>
        </w:rPr>
        <w:t>Dat is nochtans een vereiste voor de toepassing van art.</w:t>
      </w:r>
      <w:r w:rsidR="00EA77A3">
        <w:rPr>
          <w:rFonts w:ascii="Calibri" w:hAnsi="Calibri" w:cs="Calibri"/>
          <w:sz w:val="24"/>
          <w:szCs w:val="24"/>
        </w:rPr>
        <w:t xml:space="preserve"> </w:t>
      </w:r>
      <w:r w:rsidRPr="002E6900">
        <w:rPr>
          <w:rFonts w:ascii="Calibri" w:hAnsi="Calibri" w:cs="Calibri"/>
          <w:sz w:val="24"/>
          <w:szCs w:val="24"/>
        </w:rPr>
        <w:t>42, 3° Sw.</w:t>
      </w:r>
    </w:p>
    <w:p w14:paraId="5F0D55E6" w14:textId="77777777" w:rsidR="00611398" w:rsidRPr="002E6900" w:rsidRDefault="00611398" w:rsidP="00611398">
      <w:pPr>
        <w:pStyle w:val="Tekstzonderopmaak"/>
        <w:jc w:val="both"/>
        <w:rPr>
          <w:rFonts w:ascii="Calibri" w:hAnsi="Calibri" w:cs="Calibri"/>
          <w:sz w:val="24"/>
          <w:szCs w:val="24"/>
        </w:rPr>
      </w:pPr>
    </w:p>
    <w:p w14:paraId="1DA54F52" w14:textId="6506E3CC" w:rsidR="00611398" w:rsidRPr="002E6900" w:rsidRDefault="00611398" w:rsidP="00611398">
      <w:pPr>
        <w:pStyle w:val="Tekstzonderopmaak"/>
        <w:jc w:val="both"/>
        <w:rPr>
          <w:rFonts w:ascii="Calibri" w:hAnsi="Calibri" w:cs="Calibri"/>
          <w:sz w:val="24"/>
          <w:szCs w:val="24"/>
        </w:rPr>
      </w:pPr>
      <w:r w:rsidRPr="002E6900">
        <w:rPr>
          <w:rFonts w:ascii="Calibri" w:hAnsi="Calibri" w:cs="Calibri"/>
          <w:sz w:val="24"/>
          <w:szCs w:val="24"/>
        </w:rPr>
        <w:t xml:space="preserve">Dat met andere woorden ten aanzien van concluant enkel verbeurd verklaard kan worden wat voor hem persoonlijk frauduleus tot een </w:t>
      </w:r>
      <w:proofErr w:type="spellStart"/>
      <w:r w:rsidRPr="002E6900">
        <w:rPr>
          <w:rFonts w:ascii="Calibri" w:hAnsi="Calibri" w:cs="Calibri"/>
          <w:sz w:val="24"/>
          <w:szCs w:val="24"/>
        </w:rPr>
        <w:t>voordeelaangroei</w:t>
      </w:r>
      <w:proofErr w:type="spellEnd"/>
      <w:r w:rsidRPr="002E6900">
        <w:rPr>
          <w:rFonts w:ascii="Calibri" w:hAnsi="Calibri" w:cs="Calibri"/>
          <w:sz w:val="24"/>
          <w:szCs w:val="24"/>
        </w:rPr>
        <w:t xml:space="preserve"> heeft geleid</w:t>
      </w:r>
      <w:r w:rsidR="00EA77A3">
        <w:rPr>
          <w:rFonts w:ascii="Calibri" w:hAnsi="Calibri" w:cs="Calibri"/>
          <w:sz w:val="24"/>
          <w:szCs w:val="24"/>
        </w:rPr>
        <w:t>.</w:t>
      </w:r>
      <w:r w:rsidR="00EA77A3">
        <w:rPr>
          <w:rStyle w:val="Voetnootmarkering"/>
          <w:rFonts w:ascii="Calibri" w:hAnsi="Calibri" w:cs="Calibri"/>
          <w:sz w:val="24"/>
          <w:szCs w:val="24"/>
        </w:rPr>
        <w:footnoteReference w:id="5"/>
      </w:r>
    </w:p>
    <w:p w14:paraId="69E0AC71" w14:textId="77777777" w:rsidR="00611398" w:rsidRPr="002E6900" w:rsidRDefault="00611398" w:rsidP="00611398">
      <w:pPr>
        <w:pStyle w:val="Tekstzonderopmaak"/>
        <w:jc w:val="both"/>
        <w:rPr>
          <w:rFonts w:ascii="Calibri" w:hAnsi="Calibri" w:cs="Calibri"/>
          <w:sz w:val="24"/>
          <w:szCs w:val="24"/>
        </w:rPr>
      </w:pPr>
    </w:p>
    <w:p w14:paraId="6B4458F8" w14:textId="0844837C" w:rsidR="00611398" w:rsidRPr="002E6900" w:rsidRDefault="00611398" w:rsidP="00611398">
      <w:pPr>
        <w:pStyle w:val="Tekstzonderopmaak"/>
        <w:jc w:val="both"/>
        <w:rPr>
          <w:rFonts w:ascii="Calibri" w:hAnsi="Calibri" w:cs="Calibri"/>
          <w:sz w:val="24"/>
          <w:szCs w:val="24"/>
        </w:rPr>
      </w:pPr>
      <w:r w:rsidRPr="002E6900">
        <w:rPr>
          <w:rFonts w:ascii="Calibri" w:hAnsi="Calibri" w:cs="Calibri"/>
          <w:sz w:val="24"/>
          <w:szCs w:val="24"/>
        </w:rPr>
        <w:t>Dat in elk geval concluant niet kan worden aangesproken voor eventuele door anderen genoten vermogensvoordelen.</w:t>
      </w:r>
      <w:r w:rsidR="00EA77A3">
        <w:rPr>
          <w:rStyle w:val="Voetnootmarkering"/>
          <w:rFonts w:ascii="Calibri" w:hAnsi="Calibri" w:cs="Calibri"/>
          <w:sz w:val="24"/>
          <w:szCs w:val="24"/>
        </w:rPr>
        <w:footnoteReference w:id="6"/>
      </w:r>
    </w:p>
    <w:p w14:paraId="38160DD7" w14:textId="77777777" w:rsidR="00611398" w:rsidRPr="002E6900" w:rsidRDefault="00611398" w:rsidP="00611398">
      <w:pPr>
        <w:jc w:val="both"/>
        <w:rPr>
          <w:rFonts w:cs="Calibri"/>
          <w:sz w:val="24"/>
          <w:szCs w:val="24"/>
        </w:rPr>
      </w:pPr>
    </w:p>
    <w:p w14:paraId="411DD2BD" w14:textId="37919026" w:rsidR="00611398" w:rsidRPr="002E6900" w:rsidRDefault="00611398" w:rsidP="00611398">
      <w:pPr>
        <w:pStyle w:val="Tekstzonderopmaak"/>
        <w:jc w:val="both"/>
        <w:rPr>
          <w:rFonts w:ascii="Calibri" w:hAnsi="Calibri" w:cs="Calibri"/>
          <w:sz w:val="24"/>
          <w:szCs w:val="24"/>
        </w:rPr>
      </w:pPr>
      <w:r w:rsidRPr="002E6900">
        <w:rPr>
          <w:rFonts w:ascii="Calibri" w:hAnsi="Calibri" w:cs="Calibri"/>
          <w:sz w:val="24"/>
          <w:szCs w:val="24"/>
        </w:rPr>
        <w:t xml:space="preserve">Dat er van enig bewijs dat de cash gestorte bedragen een wederrechtelijk voordeel in hoofde van concluant  zouden zijn in deze geen sprake is, waardoor er geen enkele verbeurdverklaring </w:t>
      </w:r>
      <w:proofErr w:type="spellStart"/>
      <w:r w:rsidRPr="002E6900">
        <w:rPr>
          <w:rFonts w:ascii="Calibri" w:hAnsi="Calibri" w:cs="Calibri"/>
          <w:sz w:val="24"/>
          <w:szCs w:val="24"/>
        </w:rPr>
        <w:t>lastens</w:t>
      </w:r>
      <w:proofErr w:type="spellEnd"/>
      <w:r w:rsidRPr="002E6900">
        <w:rPr>
          <w:rFonts w:ascii="Calibri" w:hAnsi="Calibri" w:cs="Calibri"/>
          <w:sz w:val="24"/>
          <w:szCs w:val="24"/>
        </w:rPr>
        <w:t xml:space="preserve"> concluant kan worden uitgesproken op basis van artikel 42, 3°, en ook geen verbeurdverklaring ex aequo et </w:t>
      </w:r>
      <w:proofErr w:type="spellStart"/>
      <w:r w:rsidRPr="002E6900">
        <w:rPr>
          <w:rFonts w:ascii="Calibri" w:hAnsi="Calibri" w:cs="Calibri"/>
          <w:sz w:val="24"/>
          <w:szCs w:val="24"/>
        </w:rPr>
        <w:t>bono</w:t>
      </w:r>
      <w:proofErr w:type="spellEnd"/>
      <w:r w:rsidRPr="002E6900">
        <w:rPr>
          <w:rFonts w:ascii="Calibri" w:hAnsi="Calibri" w:cs="Calibri"/>
          <w:sz w:val="24"/>
          <w:szCs w:val="24"/>
        </w:rPr>
        <w:t xml:space="preserve"> conform artikel 43bis.</w:t>
      </w:r>
      <w:r w:rsidR="00EA77A3">
        <w:rPr>
          <w:rStyle w:val="Voetnootmarkering"/>
          <w:rFonts w:ascii="Calibri" w:hAnsi="Calibri" w:cs="Calibri"/>
          <w:sz w:val="24"/>
          <w:szCs w:val="24"/>
        </w:rPr>
        <w:footnoteReference w:id="7"/>
      </w:r>
    </w:p>
    <w:bookmarkEnd w:id="3"/>
    <w:p w14:paraId="494DDEF7" w14:textId="77777777" w:rsidR="00EA77A3" w:rsidRDefault="00EA77A3" w:rsidP="00611398">
      <w:pPr>
        <w:jc w:val="both"/>
        <w:rPr>
          <w:rFonts w:cs="Calibri"/>
          <w:sz w:val="24"/>
          <w:szCs w:val="24"/>
        </w:rPr>
      </w:pPr>
    </w:p>
    <w:p w14:paraId="7EE5DAA4" w14:textId="7C3F1E0B" w:rsidR="00611398" w:rsidRPr="002E6900" w:rsidRDefault="00EA77A3" w:rsidP="00611398">
      <w:pPr>
        <w:jc w:val="both"/>
        <w:rPr>
          <w:rFonts w:cs="Calibri"/>
          <w:sz w:val="24"/>
          <w:szCs w:val="24"/>
        </w:rPr>
      </w:pPr>
      <w:r>
        <w:rPr>
          <w:rFonts w:cs="Calibri"/>
          <w:sz w:val="24"/>
          <w:szCs w:val="24"/>
        </w:rPr>
        <w:t>6.</w:t>
      </w:r>
      <w:r>
        <w:rPr>
          <w:rFonts w:cs="Calibri"/>
          <w:sz w:val="24"/>
          <w:szCs w:val="24"/>
        </w:rPr>
        <w:br/>
      </w:r>
      <w:r w:rsidR="00611398" w:rsidRPr="002E6900">
        <w:rPr>
          <w:rFonts w:cs="Calibri"/>
          <w:sz w:val="24"/>
          <w:szCs w:val="24"/>
        </w:rPr>
        <w:t>Het komt dan ook passend voor:</w:t>
      </w:r>
    </w:p>
    <w:p w14:paraId="5301BD50" w14:textId="77777777" w:rsidR="00611398" w:rsidRPr="002E6900" w:rsidRDefault="00611398" w:rsidP="00611398">
      <w:pPr>
        <w:numPr>
          <w:ilvl w:val="0"/>
          <w:numId w:val="3"/>
        </w:numPr>
        <w:jc w:val="both"/>
        <w:rPr>
          <w:rFonts w:cs="Calibri"/>
          <w:sz w:val="24"/>
          <w:szCs w:val="24"/>
        </w:rPr>
      </w:pPr>
      <w:r w:rsidRPr="002E6900">
        <w:rPr>
          <w:rFonts w:cs="Calibri"/>
          <w:sz w:val="24"/>
          <w:szCs w:val="24"/>
        </w:rPr>
        <w:t xml:space="preserve">De vordering tot verbeurdverklaring </w:t>
      </w:r>
      <w:proofErr w:type="spellStart"/>
      <w:r w:rsidRPr="002E6900">
        <w:rPr>
          <w:rFonts w:cs="Calibri"/>
          <w:sz w:val="24"/>
          <w:szCs w:val="24"/>
        </w:rPr>
        <w:t>lastens</w:t>
      </w:r>
      <w:proofErr w:type="spellEnd"/>
      <w:r w:rsidRPr="002E6900">
        <w:rPr>
          <w:rFonts w:cs="Calibri"/>
          <w:sz w:val="24"/>
          <w:szCs w:val="24"/>
        </w:rPr>
        <w:t xml:space="preserve"> concluant integraal af te wijzen bij gebrek aan onderbouwing en bewijs</w:t>
      </w:r>
    </w:p>
    <w:p w14:paraId="04C88A19" w14:textId="77777777" w:rsidR="00611398" w:rsidRPr="002E6900" w:rsidRDefault="00611398" w:rsidP="00611398">
      <w:pPr>
        <w:jc w:val="both"/>
        <w:rPr>
          <w:rFonts w:cs="Calibri"/>
          <w:sz w:val="24"/>
          <w:szCs w:val="24"/>
        </w:rPr>
      </w:pPr>
      <w:r w:rsidRPr="002E6900">
        <w:rPr>
          <w:rFonts w:cs="Calibri"/>
          <w:sz w:val="24"/>
          <w:szCs w:val="24"/>
        </w:rPr>
        <w:t>ofwel</w:t>
      </w:r>
    </w:p>
    <w:p w14:paraId="236FC561" w14:textId="6C0ED9FB" w:rsidR="00611398" w:rsidRPr="00EA77A3" w:rsidRDefault="00611398" w:rsidP="00611398">
      <w:pPr>
        <w:numPr>
          <w:ilvl w:val="0"/>
          <w:numId w:val="3"/>
        </w:numPr>
        <w:jc w:val="both"/>
        <w:rPr>
          <w:rFonts w:cs="Calibri"/>
          <w:sz w:val="24"/>
          <w:szCs w:val="24"/>
        </w:rPr>
      </w:pPr>
      <w:r w:rsidRPr="002E6900">
        <w:rPr>
          <w:rFonts w:cs="Calibri"/>
          <w:sz w:val="24"/>
          <w:szCs w:val="24"/>
        </w:rPr>
        <w:t>De  door het Openbaar Ministerie gevraagde verbeurdverklaring aanzienlijk te herleiden (gelet haar facultatief karakter) tot wat realistisch is;</w:t>
      </w:r>
    </w:p>
    <w:p w14:paraId="11F3CEB1" w14:textId="751B9B1C" w:rsidR="00611398" w:rsidRPr="002E6900" w:rsidRDefault="00611398" w:rsidP="00611398">
      <w:pPr>
        <w:jc w:val="both"/>
        <w:rPr>
          <w:rFonts w:cs="Calibri"/>
          <w:sz w:val="24"/>
          <w:szCs w:val="24"/>
        </w:rPr>
      </w:pPr>
      <w:r w:rsidRPr="002E6900">
        <w:rPr>
          <w:rFonts w:cs="Calibri"/>
          <w:sz w:val="24"/>
          <w:szCs w:val="24"/>
        </w:rPr>
        <w:t xml:space="preserve">Uw </w:t>
      </w:r>
      <w:r w:rsidR="00EA77A3">
        <w:rPr>
          <w:rFonts w:cs="Calibri"/>
          <w:sz w:val="24"/>
          <w:szCs w:val="24"/>
        </w:rPr>
        <w:t>Rechtbank</w:t>
      </w:r>
      <w:r w:rsidRPr="002E6900">
        <w:rPr>
          <w:rFonts w:cs="Calibri"/>
          <w:sz w:val="24"/>
          <w:szCs w:val="24"/>
        </w:rPr>
        <w:t xml:space="preserve"> heeft immers ook de mogelijkheid om de verbeurdverklaring niet uit te spreken, dan wel om ze te herleiden</w:t>
      </w:r>
      <w:r w:rsidRPr="002E6900">
        <w:rPr>
          <w:rFonts w:cs="Calibri"/>
          <w:i/>
          <w:iCs/>
          <w:sz w:val="24"/>
          <w:szCs w:val="24"/>
        </w:rPr>
        <w:t>.</w:t>
      </w:r>
      <w:r w:rsidR="00EA77A3">
        <w:rPr>
          <w:rStyle w:val="Voetnootmarkering"/>
          <w:rFonts w:cs="Calibri"/>
          <w:i/>
          <w:iCs/>
          <w:sz w:val="24"/>
          <w:szCs w:val="24"/>
        </w:rPr>
        <w:footnoteReference w:id="8"/>
      </w:r>
    </w:p>
    <w:p w14:paraId="514D1578" w14:textId="77777777" w:rsidR="00611398" w:rsidRPr="002E6900" w:rsidRDefault="00611398" w:rsidP="00611398">
      <w:pPr>
        <w:jc w:val="both"/>
        <w:rPr>
          <w:rFonts w:cs="Calibri"/>
          <w:sz w:val="24"/>
          <w:szCs w:val="24"/>
        </w:rPr>
      </w:pPr>
      <w:r w:rsidRPr="002E6900">
        <w:rPr>
          <w:rFonts w:cs="Calibri"/>
          <w:sz w:val="24"/>
          <w:szCs w:val="24"/>
        </w:rPr>
        <w:t>Immers oordeelde het Grondwettelijk Hof op 09 februari 2017 nog (rolnummer 6210):</w:t>
      </w:r>
    </w:p>
    <w:p w14:paraId="70AED1E5" w14:textId="2F0AC790" w:rsidR="00611398" w:rsidRPr="00EA77A3" w:rsidRDefault="00611398" w:rsidP="00EA77A3">
      <w:pPr>
        <w:ind w:left="708"/>
        <w:jc w:val="both"/>
        <w:rPr>
          <w:rFonts w:cs="Calibri"/>
          <w:i/>
          <w:sz w:val="24"/>
          <w:szCs w:val="24"/>
        </w:rPr>
      </w:pPr>
      <w:r w:rsidRPr="002E6900">
        <w:rPr>
          <w:rFonts w:cs="Calibri"/>
          <w:i/>
          <w:sz w:val="24"/>
          <w:szCs w:val="24"/>
        </w:rPr>
        <w:lastRenderedPageBreak/>
        <w:t>“Het Grondwettelijk Hof heeft geoordeeld dat art.43, eerste lid Sw. het gelijkheidsbeginsel van art.10 en art11 GW schendt, wanneer het in samenhang gelezen wordt met het recht op eigendom, beschermd door artikel 1 Eerste Aanvullend Protocol bij het Europees Verdrag voor de Rechten van de Mens. Het Hof overweegt dat het verplichte karakter van de verbeurdverklaring “dermate afbreuk kan doen aan de financiële toestand van de persoon aan wie ze is opgelegd dat ze een onevenredige maatregel vormt ten aanzien van het ermee nagestreefde wettige doel, waardoor zij een schending met zich brengt van het eigendomsrecht</w:t>
      </w:r>
      <w:r w:rsidR="00EA77A3">
        <w:rPr>
          <w:rFonts w:cs="Calibri"/>
          <w:i/>
          <w:sz w:val="24"/>
          <w:szCs w:val="24"/>
        </w:rPr>
        <w:t>.</w:t>
      </w:r>
      <w:r w:rsidRPr="002E6900">
        <w:rPr>
          <w:rFonts w:cs="Calibri"/>
          <w:i/>
          <w:sz w:val="24"/>
          <w:szCs w:val="24"/>
        </w:rPr>
        <w:t>”</w:t>
      </w:r>
      <w:r w:rsidR="00EA77A3">
        <w:rPr>
          <w:rStyle w:val="Voetnootmarkering"/>
          <w:rFonts w:cs="Calibri"/>
          <w:i/>
          <w:sz w:val="24"/>
          <w:szCs w:val="24"/>
        </w:rPr>
        <w:footnoteReference w:id="9"/>
      </w:r>
    </w:p>
    <w:p w14:paraId="2492BCAA" w14:textId="38C9FF7D" w:rsidR="00EA77A3" w:rsidRDefault="002F2006" w:rsidP="00611398">
      <w:pPr>
        <w:jc w:val="both"/>
        <w:rPr>
          <w:rFonts w:cs="Calibri"/>
          <w:sz w:val="24"/>
          <w:szCs w:val="24"/>
        </w:rPr>
      </w:pPr>
      <w:r>
        <w:rPr>
          <w:rFonts w:cs="Calibri"/>
          <w:sz w:val="24"/>
          <w:szCs w:val="24"/>
        </w:rPr>
        <w:t>Artikel 43bis, laatste lid Sw. geeft daarbij uitdrukkelijk de rechter een matigingsbevoegdheid om te voorkomen dat een onredelijke zware bestraffing opgelegd zou worden.</w:t>
      </w:r>
    </w:p>
    <w:p w14:paraId="7DB73134" w14:textId="347FC419" w:rsidR="00611398" w:rsidRPr="002E6900" w:rsidRDefault="00611398" w:rsidP="00611398">
      <w:pPr>
        <w:jc w:val="both"/>
        <w:rPr>
          <w:rFonts w:cs="Calibri"/>
          <w:sz w:val="24"/>
          <w:szCs w:val="24"/>
        </w:rPr>
      </w:pPr>
      <w:r w:rsidRPr="002E6900">
        <w:rPr>
          <w:rFonts w:cs="Calibri"/>
          <w:sz w:val="24"/>
          <w:szCs w:val="24"/>
        </w:rPr>
        <w:t>Aldus mag concluant Uw rechtbank – uiterst ondergeschikt - verzoeken om minstens de gevorderde verbeurdverklaring van de vermogensvoordelen ernstig te willen beperken tot wat realistisch is en bewezen voorkomt.</w:t>
      </w:r>
    </w:p>
    <w:p w14:paraId="3532B309" w14:textId="77777777" w:rsidR="00A0728F" w:rsidRPr="00A0728F" w:rsidRDefault="00A0728F" w:rsidP="00A0728F">
      <w:pPr>
        <w:pStyle w:val="ProcedureTekst"/>
        <w:jc w:val="both"/>
        <w:rPr>
          <w:rFonts w:ascii="Calibri" w:hAnsi="Calibri" w:cs="Calibri"/>
          <w:bCs/>
          <w:sz w:val="22"/>
          <w:szCs w:val="22"/>
        </w:rPr>
      </w:pPr>
    </w:p>
    <w:p w14:paraId="7F947B18" w14:textId="77777777" w:rsidR="0098090F" w:rsidRPr="001D55D9" w:rsidRDefault="0098090F" w:rsidP="0098090F">
      <w:pPr>
        <w:pStyle w:val="ProcedureTekst"/>
        <w:ind w:left="1996"/>
        <w:rPr>
          <w:rFonts w:ascii="Calibri" w:hAnsi="Calibri" w:cs="Calibri"/>
          <w:sz w:val="22"/>
          <w:szCs w:val="22"/>
        </w:rPr>
      </w:pPr>
    </w:p>
    <w:p w14:paraId="1ED8FCE7" w14:textId="056ADDB3" w:rsidR="0098090F" w:rsidRDefault="0098090F" w:rsidP="0098090F"/>
    <w:p w14:paraId="63580AFE" w14:textId="77777777" w:rsidR="0098090F" w:rsidRPr="004F32E7" w:rsidRDefault="0098090F" w:rsidP="0098090F">
      <w:pPr>
        <w:rPr>
          <w:rFonts w:cs="Calibri"/>
          <w:b/>
          <w:sz w:val="28"/>
          <w:szCs w:val="28"/>
        </w:rPr>
      </w:pPr>
      <w:r w:rsidRPr="004F32E7">
        <w:rPr>
          <w:rFonts w:cs="Calibri"/>
          <w:b/>
          <w:sz w:val="28"/>
          <w:szCs w:val="28"/>
        </w:rPr>
        <w:t>OM DEZE REDENEN ,</w:t>
      </w:r>
    </w:p>
    <w:p w14:paraId="43AA91CF" w14:textId="77777777" w:rsidR="0098090F" w:rsidRPr="001D55D9" w:rsidRDefault="0098090F" w:rsidP="0098090F">
      <w:pPr>
        <w:rPr>
          <w:rFonts w:cs="Calibri"/>
          <w:b/>
          <w:sz w:val="28"/>
          <w:szCs w:val="28"/>
        </w:rPr>
      </w:pPr>
      <w:r w:rsidRPr="001D55D9">
        <w:rPr>
          <w:rFonts w:cs="Calibri"/>
          <w:b/>
          <w:sz w:val="28"/>
          <w:szCs w:val="28"/>
        </w:rPr>
        <w:t>En alle andere te doen gelden in de loop van het geding,</w:t>
      </w:r>
    </w:p>
    <w:p w14:paraId="01A87C62" w14:textId="77777777" w:rsidR="0098090F" w:rsidRPr="001D55D9" w:rsidRDefault="0098090F" w:rsidP="0098090F">
      <w:pPr>
        <w:rPr>
          <w:rFonts w:cs="Calibri"/>
          <w:b/>
          <w:sz w:val="28"/>
          <w:szCs w:val="28"/>
        </w:rPr>
      </w:pPr>
    </w:p>
    <w:p w14:paraId="37B86856" w14:textId="77777777" w:rsidR="0098090F" w:rsidRPr="001D55D9" w:rsidRDefault="0098090F" w:rsidP="0098090F">
      <w:pPr>
        <w:rPr>
          <w:rFonts w:cs="Calibri"/>
          <w:b/>
          <w:sz w:val="28"/>
          <w:szCs w:val="28"/>
        </w:rPr>
      </w:pPr>
      <w:r w:rsidRPr="001D55D9">
        <w:rPr>
          <w:rFonts w:cs="Calibri"/>
          <w:b/>
          <w:sz w:val="28"/>
          <w:szCs w:val="28"/>
        </w:rPr>
        <w:t>BEHAGE HET DE RECHTBANK,</w:t>
      </w:r>
    </w:p>
    <w:p w14:paraId="226FD7B0" w14:textId="75E52810" w:rsidR="00EA77A3" w:rsidRDefault="00EA77A3" w:rsidP="00EA77A3">
      <w:pPr>
        <w:pStyle w:val="ProcedureTekst"/>
        <w:jc w:val="both"/>
        <w:rPr>
          <w:rFonts w:ascii="Calibri" w:hAnsi="Calibri" w:cs="Calibri"/>
          <w:bCs/>
          <w:sz w:val="22"/>
          <w:szCs w:val="22"/>
        </w:rPr>
      </w:pPr>
      <w:r>
        <w:rPr>
          <w:rFonts w:ascii="Calibri" w:hAnsi="Calibri" w:cs="Calibri"/>
          <w:bCs/>
          <w:sz w:val="22"/>
          <w:szCs w:val="22"/>
        </w:rPr>
        <w:t>D</w:t>
      </w:r>
      <w:r>
        <w:rPr>
          <w:rFonts w:ascii="Calibri" w:hAnsi="Calibri" w:cs="Calibri"/>
          <w:bCs/>
          <w:sz w:val="22"/>
          <w:szCs w:val="22"/>
        </w:rPr>
        <w:t xml:space="preserve">e verbeurdverklaring </w:t>
      </w:r>
      <w:proofErr w:type="spellStart"/>
      <w:r>
        <w:rPr>
          <w:rFonts w:ascii="Calibri" w:hAnsi="Calibri" w:cs="Calibri"/>
          <w:bCs/>
          <w:sz w:val="22"/>
          <w:szCs w:val="22"/>
        </w:rPr>
        <w:t>lastens</w:t>
      </w:r>
      <w:proofErr w:type="spellEnd"/>
      <w:r>
        <w:rPr>
          <w:rFonts w:ascii="Calibri" w:hAnsi="Calibri" w:cs="Calibri"/>
          <w:bCs/>
          <w:sz w:val="22"/>
          <w:szCs w:val="22"/>
        </w:rPr>
        <w:t xml:space="preserve"> concluant integraal af te wijzen bij gebreke aan onderbouwing en bewijs. </w:t>
      </w:r>
    </w:p>
    <w:p w14:paraId="59A61CC4" w14:textId="77777777" w:rsidR="00EA77A3" w:rsidRDefault="00EA77A3" w:rsidP="00EA77A3">
      <w:pPr>
        <w:pStyle w:val="ProcedureTekst"/>
        <w:jc w:val="both"/>
        <w:rPr>
          <w:rFonts w:ascii="Calibri" w:hAnsi="Calibri" w:cs="Calibri"/>
          <w:bCs/>
          <w:sz w:val="22"/>
          <w:szCs w:val="22"/>
        </w:rPr>
      </w:pPr>
    </w:p>
    <w:p w14:paraId="4E1AD718" w14:textId="03858659" w:rsidR="00EA77A3" w:rsidRDefault="00EA77A3" w:rsidP="00EA77A3">
      <w:pPr>
        <w:pStyle w:val="ProcedureTekst"/>
        <w:jc w:val="both"/>
        <w:rPr>
          <w:rFonts w:ascii="Calibri" w:hAnsi="Calibri" w:cs="Calibri"/>
          <w:bCs/>
          <w:sz w:val="22"/>
          <w:szCs w:val="22"/>
        </w:rPr>
      </w:pPr>
      <w:r>
        <w:rPr>
          <w:rFonts w:ascii="Calibri" w:hAnsi="Calibri" w:cs="Calibri"/>
          <w:bCs/>
          <w:sz w:val="22"/>
          <w:szCs w:val="22"/>
        </w:rPr>
        <w:t>De</w:t>
      </w:r>
      <w:r>
        <w:rPr>
          <w:rFonts w:ascii="Calibri" w:hAnsi="Calibri" w:cs="Calibri"/>
          <w:bCs/>
          <w:sz w:val="22"/>
          <w:szCs w:val="22"/>
        </w:rPr>
        <w:t xml:space="preserve"> gevraagde verbeurdverklaring aanzienlijk te herleiden, gelet haar facultatief karakter tot wat realistisch is.</w:t>
      </w:r>
    </w:p>
    <w:p w14:paraId="0599DEDF" w14:textId="77777777" w:rsidR="0098090F" w:rsidRDefault="0098090F" w:rsidP="0098090F">
      <w:pPr>
        <w:rPr>
          <w:rFonts w:cs="Calibri"/>
          <w:sz w:val="24"/>
          <w:szCs w:val="24"/>
        </w:rPr>
      </w:pPr>
    </w:p>
    <w:p w14:paraId="7323CB6D" w14:textId="77777777" w:rsidR="0098090F" w:rsidRDefault="0098090F" w:rsidP="0098090F">
      <w:pPr>
        <w:rPr>
          <w:rFonts w:cs="Calibri"/>
          <w:sz w:val="24"/>
          <w:szCs w:val="24"/>
        </w:rPr>
      </w:pPr>
    </w:p>
    <w:p w14:paraId="4D4F4AC1" w14:textId="7B07BE7D" w:rsidR="0098090F" w:rsidRPr="004F32E7" w:rsidRDefault="0098090F" w:rsidP="0098090F">
      <w:pPr>
        <w:rPr>
          <w:rFonts w:cs="Calibri"/>
          <w:sz w:val="24"/>
          <w:szCs w:val="24"/>
        </w:rPr>
      </w:pPr>
      <w:r w:rsidRPr="004F32E7">
        <w:rPr>
          <w:rFonts w:cs="Calibri"/>
          <w:sz w:val="24"/>
          <w:szCs w:val="24"/>
        </w:rPr>
        <w:t>Met de meeste eerbied,</w:t>
      </w:r>
    </w:p>
    <w:p w14:paraId="75F3A7A6" w14:textId="77777777" w:rsidR="0098090F" w:rsidRPr="004F32E7" w:rsidRDefault="0098090F" w:rsidP="0098090F">
      <w:pPr>
        <w:rPr>
          <w:rFonts w:cs="Calibri"/>
          <w:sz w:val="24"/>
          <w:szCs w:val="24"/>
        </w:rPr>
      </w:pPr>
    </w:p>
    <w:p w14:paraId="1F738DD5" w14:textId="4E8883F6" w:rsidR="0098090F" w:rsidRPr="00771AF6" w:rsidRDefault="0098090F" w:rsidP="0098090F">
      <w:pPr>
        <w:rPr>
          <w:rFonts w:asciiTheme="minorHAnsi" w:hAnsiTheme="minorHAnsi" w:cstheme="minorHAnsi"/>
          <w:sz w:val="24"/>
          <w:szCs w:val="24"/>
        </w:rPr>
      </w:pPr>
      <w:r w:rsidRPr="004F32E7">
        <w:rPr>
          <w:rFonts w:cs="Calibri"/>
          <w:sz w:val="24"/>
          <w:szCs w:val="24"/>
        </w:rPr>
        <w:t xml:space="preserve">Antwerpen, </w:t>
      </w:r>
      <w:r w:rsidR="00771AF6" w:rsidRPr="00771AF6">
        <w:rPr>
          <w:rFonts w:asciiTheme="minorHAnsi" w:hAnsiTheme="minorHAnsi" w:cstheme="minorHAnsi"/>
          <w:noProof/>
          <w:sz w:val="24"/>
          <w:szCs w:val="24"/>
        </w:rPr>
        <w:t>16 februari 2024</w:t>
      </w:r>
      <w:r w:rsidRPr="00771AF6">
        <w:rPr>
          <w:rFonts w:asciiTheme="minorHAnsi" w:hAnsiTheme="minorHAnsi" w:cstheme="minorHAnsi"/>
          <w:sz w:val="24"/>
          <w:szCs w:val="24"/>
        </w:rPr>
        <w:t>,</w:t>
      </w:r>
    </w:p>
    <w:p w14:paraId="2F14E80A" w14:textId="77777777" w:rsidR="0098090F" w:rsidRPr="001D55D9" w:rsidRDefault="0098090F" w:rsidP="0098090F">
      <w:pPr>
        <w:rPr>
          <w:rFonts w:cs="Calibri"/>
          <w:sz w:val="24"/>
          <w:szCs w:val="24"/>
        </w:rPr>
      </w:pPr>
    </w:p>
    <w:p w14:paraId="5016A24C" w14:textId="77777777" w:rsidR="0098090F" w:rsidRPr="001D55D9" w:rsidRDefault="0098090F" w:rsidP="0098090F">
      <w:pPr>
        <w:rPr>
          <w:rFonts w:cs="Calibri"/>
          <w:sz w:val="24"/>
          <w:szCs w:val="24"/>
        </w:rPr>
      </w:pPr>
      <w:r w:rsidRPr="001D55D9">
        <w:rPr>
          <w:rFonts w:cs="Calibri"/>
          <w:sz w:val="24"/>
          <w:szCs w:val="24"/>
        </w:rPr>
        <w:t>Voor concluant,</w:t>
      </w:r>
    </w:p>
    <w:p w14:paraId="0F5D0F36" w14:textId="77777777" w:rsidR="0098090F" w:rsidRPr="001D55D9" w:rsidRDefault="0098090F" w:rsidP="0098090F">
      <w:pPr>
        <w:rPr>
          <w:rFonts w:cs="Calibri"/>
          <w:sz w:val="24"/>
          <w:szCs w:val="24"/>
        </w:rPr>
      </w:pPr>
    </w:p>
    <w:p w14:paraId="001D36AE" w14:textId="77777777" w:rsidR="0098090F" w:rsidRPr="001D55D9" w:rsidRDefault="0098090F" w:rsidP="0098090F">
      <w:pPr>
        <w:rPr>
          <w:rFonts w:cs="Calibri"/>
          <w:sz w:val="24"/>
          <w:szCs w:val="24"/>
        </w:rPr>
      </w:pPr>
      <w:r w:rsidRPr="001D55D9">
        <w:rPr>
          <w:rFonts w:cs="Calibri"/>
          <w:sz w:val="24"/>
          <w:szCs w:val="24"/>
        </w:rPr>
        <w:t>Zijn advocaat,</w:t>
      </w:r>
    </w:p>
    <w:p w14:paraId="7BC75D31" w14:textId="77777777" w:rsidR="0098090F" w:rsidRPr="001D55D9" w:rsidRDefault="0098090F" w:rsidP="0098090F">
      <w:pPr>
        <w:rPr>
          <w:rFonts w:cs="Calibri"/>
          <w:sz w:val="24"/>
          <w:szCs w:val="24"/>
        </w:rPr>
      </w:pPr>
    </w:p>
    <w:p w14:paraId="2A4F128C" w14:textId="77777777" w:rsidR="0098090F" w:rsidRPr="001D55D9" w:rsidRDefault="0098090F" w:rsidP="0098090F">
      <w:pPr>
        <w:rPr>
          <w:rFonts w:cs="Calibri"/>
          <w:sz w:val="24"/>
          <w:szCs w:val="24"/>
        </w:rPr>
      </w:pPr>
    </w:p>
    <w:p w14:paraId="36873C62" w14:textId="50C77723" w:rsidR="0098090F" w:rsidRDefault="0098090F" w:rsidP="0098090F">
      <w:pPr>
        <w:rPr>
          <w:rFonts w:ascii="Verdana" w:hAnsi="Verdana"/>
          <w:sz w:val="24"/>
          <w:szCs w:val="24"/>
        </w:rPr>
      </w:pPr>
      <w:r w:rsidRPr="001D55D9">
        <w:rPr>
          <w:rFonts w:cs="Calibri"/>
          <w:sz w:val="24"/>
          <w:szCs w:val="24"/>
        </w:rPr>
        <w:t>Len AUGUSTYNS</w:t>
      </w:r>
      <w:r w:rsidRPr="001D55D9">
        <w:rPr>
          <w:rFonts w:cs="Calibri"/>
          <w:sz w:val="24"/>
          <w:szCs w:val="24"/>
        </w:rPr>
        <w:tab/>
      </w:r>
      <w:r w:rsidRPr="001D55D9">
        <w:rPr>
          <w:rFonts w:cs="Calibri"/>
          <w:sz w:val="24"/>
          <w:szCs w:val="24"/>
        </w:rPr>
        <w:tab/>
      </w:r>
      <w:r w:rsidRPr="001D55D9">
        <w:rPr>
          <w:rFonts w:cs="Calibri"/>
          <w:sz w:val="24"/>
          <w:szCs w:val="24"/>
        </w:rPr>
        <w:tab/>
      </w:r>
      <w:r w:rsidRPr="001D55D9">
        <w:rPr>
          <w:rFonts w:cs="Calibri"/>
          <w:sz w:val="24"/>
          <w:szCs w:val="24"/>
        </w:rPr>
        <w:tab/>
      </w:r>
      <w:r w:rsidRPr="001D55D9">
        <w:rPr>
          <w:rFonts w:cs="Calibri"/>
          <w:sz w:val="24"/>
          <w:szCs w:val="24"/>
        </w:rPr>
        <w:tab/>
      </w:r>
      <w:r w:rsidRPr="001D55D9">
        <w:rPr>
          <w:rFonts w:cs="Calibri"/>
          <w:sz w:val="24"/>
          <w:szCs w:val="24"/>
        </w:rPr>
        <w:tab/>
      </w:r>
      <w:r w:rsidRPr="001D55D9">
        <w:rPr>
          <w:rFonts w:cs="Calibri"/>
          <w:sz w:val="24"/>
          <w:szCs w:val="24"/>
        </w:rPr>
        <w:tab/>
      </w:r>
    </w:p>
    <w:p w14:paraId="7D2445ED" w14:textId="5EC3F430" w:rsidR="0098090F" w:rsidRDefault="0098090F" w:rsidP="0098090F">
      <w:pPr>
        <w:rPr>
          <w:rFonts w:cs="Calibri"/>
          <w:sz w:val="24"/>
          <w:szCs w:val="24"/>
        </w:rPr>
      </w:pPr>
    </w:p>
    <w:p w14:paraId="1E7BB293" w14:textId="0A7E82C7" w:rsidR="0098090F" w:rsidRDefault="0098090F" w:rsidP="0098090F">
      <w:pPr>
        <w:rPr>
          <w:rFonts w:cs="Calibri"/>
          <w:sz w:val="24"/>
          <w:szCs w:val="24"/>
        </w:rPr>
      </w:pPr>
    </w:p>
    <w:p w14:paraId="326BC9CF" w14:textId="77777777" w:rsidR="0098090F" w:rsidRPr="001D55D9" w:rsidRDefault="0098090F" w:rsidP="0098090F">
      <w:pPr>
        <w:rPr>
          <w:rFonts w:cs="Calibri"/>
          <w:sz w:val="24"/>
          <w:szCs w:val="24"/>
        </w:rPr>
      </w:pPr>
    </w:p>
    <w:p w14:paraId="0620AD2E" w14:textId="022669E3" w:rsidR="0011059E" w:rsidRDefault="0098090F">
      <w:r w:rsidRPr="001D55D9">
        <w:rPr>
          <w:rFonts w:cs="Calibri"/>
          <w:b/>
          <w:sz w:val="24"/>
          <w:szCs w:val="24"/>
          <w:u w:val="single"/>
        </w:rPr>
        <w:t>Inventaris der Overtuigingsstukken:</w:t>
      </w:r>
    </w:p>
    <w:sectPr w:rsidR="0011059E">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26186" w14:textId="77777777" w:rsidR="00BE1117" w:rsidRDefault="00BE1117" w:rsidP="00771AF6">
      <w:pPr>
        <w:spacing w:after="0" w:line="240" w:lineRule="auto"/>
      </w:pPr>
      <w:r>
        <w:separator/>
      </w:r>
    </w:p>
  </w:endnote>
  <w:endnote w:type="continuationSeparator" w:id="0">
    <w:p w14:paraId="17FB25FA" w14:textId="77777777" w:rsidR="00BE1117" w:rsidRDefault="00BE1117" w:rsidP="00771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1B6A9" w14:textId="77777777" w:rsidR="00BE1117" w:rsidRDefault="00BE1117" w:rsidP="00771AF6">
      <w:pPr>
        <w:spacing w:after="0" w:line="240" w:lineRule="auto"/>
      </w:pPr>
      <w:r>
        <w:separator/>
      </w:r>
    </w:p>
  </w:footnote>
  <w:footnote w:type="continuationSeparator" w:id="0">
    <w:p w14:paraId="1F855A1C" w14:textId="77777777" w:rsidR="00BE1117" w:rsidRDefault="00BE1117" w:rsidP="00771AF6">
      <w:pPr>
        <w:spacing w:after="0" w:line="240" w:lineRule="auto"/>
      </w:pPr>
      <w:r>
        <w:continuationSeparator/>
      </w:r>
    </w:p>
  </w:footnote>
  <w:footnote w:id="1">
    <w:p w14:paraId="77E79132" w14:textId="77777777" w:rsidR="00611398" w:rsidRPr="002E6900" w:rsidRDefault="00611398" w:rsidP="00611398">
      <w:pPr>
        <w:pStyle w:val="Voetnoottekst"/>
        <w:jc w:val="both"/>
        <w:rPr>
          <w:rFonts w:cs="Calibri"/>
          <w:sz w:val="18"/>
          <w:szCs w:val="18"/>
        </w:rPr>
      </w:pPr>
      <w:r w:rsidRPr="002E6900">
        <w:rPr>
          <w:rStyle w:val="Voetnootmarkering"/>
          <w:rFonts w:cs="Calibri"/>
        </w:rPr>
        <w:footnoteRef/>
      </w:r>
      <w:r w:rsidRPr="002E6900">
        <w:rPr>
          <w:rFonts w:cs="Calibri"/>
        </w:rPr>
        <w:t xml:space="preserve"> </w:t>
      </w:r>
      <w:r w:rsidRPr="002E6900">
        <w:rPr>
          <w:rFonts w:cs="Calibri"/>
          <w:sz w:val="18"/>
          <w:szCs w:val="18"/>
        </w:rPr>
        <w:t xml:space="preserve">Cass., 28 juni 2007, C.02.0173.F, </w:t>
      </w:r>
      <w:hyperlink r:id="rId1" w:history="1">
        <w:r w:rsidRPr="002E6900">
          <w:rPr>
            <w:rStyle w:val="Hyperlink"/>
            <w:rFonts w:cs="Calibri"/>
            <w:sz w:val="18"/>
            <w:szCs w:val="18"/>
          </w:rPr>
          <w:t>www.cass.be</w:t>
        </w:r>
      </w:hyperlink>
      <w:r w:rsidRPr="002E6900">
        <w:rPr>
          <w:rFonts w:cs="Calibri"/>
          <w:sz w:val="18"/>
          <w:szCs w:val="18"/>
        </w:rPr>
        <w:t xml:space="preserve">. </w:t>
      </w:r>
    </w:p>
  </w:footnote>
  <w:footnote w:id="2">
    <w:p w14:paraId="09BA2E5E" w14:textId="77777777" w:rsidR="00611398" w:rsidRPr="000D0BAA" w:rsidRDefault="00611398" w:rsidP="00611398">
      <w:pPr>
        <w:pStyle w:val="Voetnoottekst"/>
        <w:jc w:val="both"/>
        <w:rPr>
          <w:rFonts w:ascii="Tahoma" w:hAnsi="Tahoma"/>
          <w:sz w:val="18"/>
          <w:szCs w:val="18"/>
        </w:rPr>
      </w:pPr>
      <w:r w:rsidRPr="002E6900">
        <w:rPr>
          <w:rStyle w:val="Voetnootmarkering"/>
          <w:rFonts w:cs="Calibri"/>
        </w:rPr>
        <w:footnoteRef/>
      </w:r>
      <w:r w:rsidRPr="002E6900">
        <w:rPr>
          <w:rFonts w:cs="Calibri"/>
        </w:rPr>
        <w:t xml:space="preserve"> </w:t>
      </w:r>
      <w:r w:rsidRPr="002E6900">
        <w:rPr>
          <w:rFonts w:cs="Calibri"/>
          <w:sz w:val="18"/>
          <w:szCs w:val="18"/>
        </w:rPr>
        <w:t xml:space="preserve">FRANCIS, E., “Algemene principes van de bijzondere verbeurdverklaring en het beslag in strafzaken”, </w:t>
      </w:r>
      <w:r w:rsidRPr="002E6900">
        <w:rPr>
          <w:rFonts w:cs="Calibri"/>
          <w:i/>
          <w:sz w:val="18"/>
          <w:szCs w:val="18"/>
        </w:rPr>
        <w:t xml:space="preserve">T. </w:t>
      </w:r>
      <w:proofErr w:type="spellStart"/>
      <w:r w:rsidRPr="002E6900">
        <w:rPr>
          <w:rFonts w:cs="Calibri"/>
          <w:i/>
          <w:sz w:val="18"/>
          <w:szCs w:val="18"/>
        </w:rPr>
        <w:t>Strafr</w:t>
      </w:r>
      <w:proofErr w:type="spellEnd"/>
      <w:r w:rsidRPr="002E6900">
        <w:rPr>
          <w:rFonts w:cs="Calibri"/>
          <w:i/>
          <w:sz w:val="18"/>
          <w:szCs w:val="18"/>
        </w:rPr>
        <w:t>.</w:t>
      </w:r>
      <w:r w:rsidRPr="002E6900">
        <w:rPr>
          <w:rFonts w:cs="Calibri"/>
          <w:sz w:val="18"/>
          <w:szCs w:val="18"/>
        </w:rPr>
        <w:t>, 2011, afl. 5, 308.</w:t>
      </w:r>
    </w:p>
  </w:footnote>
  <w:footnote w:id="3">
    <w:p w14:paraId="469181B9" w14:textId="77777777" w:rsidR="00611398" w:rsidRPr="000D0BAA" w:rsidRDefault="00611398" w:rsidP="00611398">
      <w:pPr>
        <w:pStyle w:val="Voetnoottekst"/>
        <w:jc w:val="both"/>
        <w:rPr>
          <w:rFonts w:ascii="Tahoma" w:hAnsi="Tahoma"/>
          <w:sz w:val="18"/>
          <w:szCs w:val="18"/>
        </w:rPr>
      </w:pPr>
      <w:r>
        <w:rPr>
          <w:rStyle w:val="Voetnootmarkering"/>
        </w:rPr>
        <w:footnoteRef/>
      </w:r>
      <w:r>
        <w:t xml:space="preserve"> </w:t>
      </w:r>
      <w:r w:rsidRPr="000D0BAA">
        <w:rPr>
          <w:rFonts w:ascii="Tahoma" w:hAnsi="Tahoma"/>
          <w:sz w:val="18"/>
          <w:szCs w:val="18"/>
        </w:rPr>
        <w:t xml:space="preserve">VAN DEN WYNGAERT, C., </w:t>
      </w:r>
      <w:r w:rsidRPr="000D0BAA">
        <w:rPr>
          <w:rFonts w:ascii="Tahoma" w:hAnsi="Tahoma"/>
          <w:i/>
          <w:sz w:val="18"/>
          <w:szCs w:val="18"/>
        </w:rPr>
        <w:t>Strafrecht &amp; Strafprocesrecht in hoofdlijnen</w:t>
      </w:r>
      <w:r w:rsidRPr="000D0BAA">
        <w:rPr>
          <w:rFonts w:ascii="Tahoma" w:hAnsi="Tahoma"/>
          <w:sz w:val="18"/>
          <w:szCs w:val="18"/>
        </w:rPr>
        <w:t xml:space="preserve">, Antwerpen, </w:t>
      </w:r>
      <w:proofErr w:type="spellStart"/>
      <w:r w:rsidRPr="000D0BAA">
        <w:rPr>
          <w:rFonts w:ascii="Tahoma" w:hAnsi="Tahoma"/>
          <w:sz w:val="18"/>
          <w:szCs w:val="18"/>
        </w:rPr>
        <w:t>Maklu</w:t>
      </w:r>
      <w:proofErr w:type="spellEnd"/>
      <w:r w:rsidRPr="000D0BAA">
        <w:rPr>
          <w:rFonts w:ascii="Tahoma" w:hAnsi="Tahoma"/>
          <w:sz w:val="18"/>
          <w:szCs w:val="18"/>
        </w:rPr>
        <w:t>, 2011, 433.</w:t>
      </w:r>
    </w:p>
  </w:footnote>
  <w:footnote w:id="4">
    <w:p w14:paraId="5A0A6962" w14:textId="31FDFCCF" w:rsidR="00EA77A3" w:rsidRPr="00EA77A3" w:rsidRDefault="00EA77A3">
      <w:pPr>
        <w:pStyle w:val="Voetnoottekst"/>
        <w:rPr>
          <w:lang w:val="fr-FR"/>
        </w:rPr>
      </w:pPr>
      <w:r>
        <w:rPr>
          <w:rStyle w:val="Voetnootmarkering"/>
        </w:rPr>
        <w:footnoteRef/>
      </w:r>
      <w:r w:rsidRPr="00EA77A3">
        <w:rPr>
          <w:lang w:val="fr-FR"/>
        </w:rPr>
        <w:t xml:space="preserve"> </w:t>
      </w:r>
      <w:r w:rsidRPr="00EA77A3">
        <w:rPr>
          <w:lang w:val="fr-FR"/>
        </w:rPr>
        <w:t xml:space="preserve">Cass. AR P.04.0397.N. 22 </w:t>
      </w:r>
      <w:proofErr w:type="spellStart"/>
      <w:r w:rsidRPr="00EA77A3">
        <w:rPr>
          <w:lang w:val="fr-FR"/>
        </w:rPr>
        <w:t>juni</w:t>
      </w:r>
      <w:proofErr w:type="spellEnd"/>
      <w:r w:rsidRPr="00EA77A3">
        <w:rPr>
          <w:lang w:val="fr-FR"/>
        </w:rPr>
        <w:t xml:space="preserve"> 2004, </w:t>
      </w:r>
      <w:r w:rsidRPr="00EA77A3">
        <w:rPr>
          <w:i/>
          <w:iCs/>
          <w:lang w:val="fr-FR"/>
        </w:rPr>
        <w:t>Pas</w:t>
      </w:r>
      <w:r w:rsidRPr="00EA77A3">
        <w:rPr>
          <w:lang w:val="fr-FR"/>
        </w:rPr>
        <w:t>. 2004, 1109</w:t>
      </w:r>
      <w:r>
        <w:rPr>
          <w:lang w:val="fr-FR"/>
        </w:rPr>
        <w:t>.</w:t>
      </w:r>
    </w:p>
  </w:footnote>
  <w:footnote w:id="5">
    <w:p w14:paraId="545DFF92" w14:textId="728E136A" w:rsidR="00EA77A3" w:rsidRDefault="00EA77A3">
      <w:pPr>
        <w:pStyle w:val="Voetnoottekst"/>
      </w:pPr>
      <w:r>
        <w:rPr>
          <w:rStyle w:val="Voetnootmarkering"/>
        </w:rPr>
        <w:footnoteRef/>
      </w:r>
      <w:r>
        <w:t xml:space="preserve"> </w:t>
      </w:r>
      <w:r w:rsidRPr="00EA77A3">
        <w:t xml:space="preserve">Gent 17 november 1998, </w:t>
      </w:r>
      <w:proofErr w:type="spellStart"/>
      <w:r w:rsidRPr="00EA77A3">
        <w:t>T.Strafr</w:t>
      </w:r>
      <w:proofErr w:type="spellEnd"/>
      <w:r w:rsidRPr="00EA77A3">
        <w:t xml:space="preserve">, 2001 340 met noot G. STESSENS; </w:t>
      </w:r>
      <w:proofErr w:type="spellStart"/>
      <w:r w:rsidRPr="00EA77A3">
        <w:t>Corr</w:t>
      </w:r>
      <w:proofErr w:type="spellEnd"/>
      <w:r w:rsidRPr="00EA77A3">
        <w:t>. Brugge 15 mei 2003, http://www.confiscaid.be.</w:t>
      </w:r>
    </w:p>
  </w:footnote>
  <w:footnote w:id="6">
    <w:p w14:paraId="4774D4A8" w14:textId="52D0A3F6" w:rsidR="00EA77A3" w:rsidRDefault="00EA77A3">
      <w:pPr>
        <w:pStyle w:val="Voetnoottekst"/>
      </w:pPr>
      <w:r>
        <w:rPr>
          <w:rStyle w:val="Voetnootmarkering"/>
        </w:rPr>
        <w:footnoteRef/>
      </w:r>
      <w:r>
        <w:t xml:space="preserve"> </w:t>
      </w:r>
      <w:r w:rsidRPr="00EA77A3">
        <w:t>ROZIE, J., Voordeelsontneming, Antwerpen, 2005, Intersentia, p.</w:t>
      </w:r>
      <w:r>
        <w:t xml:space="preserve"> </w:t>
      </w:r>
      <w:r w:rsidRPr="00EA77A3">
        <w:t>242</w:t>
      </w:r>
      <w:r>
        <w:t>.</w:t>
      </w:r>
    </w:p>
  </w:footnote>
  <w:footnote w:id="7">
    <w:p w14:paraId="6653C35D" w14:textId="0C4C4901" w:rsidR="00EA77A3" w:rsidRDefault="00EA77A3">
      <w:pPr>
        <w:pStyle w:val="Voetnoottekst"/>
      </w:pPr>
      <w:r>
        <w:rPr>
          <w:rStyle w:val="Voetnootmarkering"/>
        </w:rPr>
        <w:footnoteRef/>
      </w:r>
      <w:r>
        <w:t xml:space="preserve"> </w:t>
      </w:r>
      <w:r w:rsidRPr="00EA77A3">
        <w:t>ROZIE, J., Voordeelsontneming, Antwerpen, 2005, Intersentia, p.</w:t>
      </w:r>
      <w:r>
        <w:t xml:space="preserve"> </w:t>
      </w:r>
      <w:r w:rsidRPr="00EA77A3">
        <w:t>239</w:t>
      </w:r>
      <w:r>
        <w:t>.</w:t>
      </w:r>
    </w:p>
  </w:footnote>
  <w:footnote w:id="8">
    <w:p w14:paraId="3F1A8845" w14:textId="4F94968C" w:rsidR="00EA77A3" w:rsidRDefault="00EA77A3">
      <w:pPr>
        <w:pStyle w:val="Voetnoottekst"/>
      </w:pPr>
      <w:r>
        <w:rPr>
          <w:rStyle w:val="Voetnootmarkering"/>
        </w:rPr>
        <w:footnoteRef/>
      </w:r>
      <w:r>
        <w:t xml:space="preserve"> </w:t>
      </w:r>
      <w:r w:rsidRPr="00EA77A3">
        <w:t xml:space="preserve">FRANCIS, E., Algemene duiding over de verbeurdverklaring, in Beslag en verbeurdverklaring in strafzaken, duiding 2015, F. </w:t>
      </w:r>
      <w:proofErr w:type="spellStart"/>
      <w:r w:rsidRPr="00EA77A3">
        <w:t>Desterbeck</w:t>
      </w:r>
      <w:proofErr w:type="spellEnd"/>
      <w:r w:rsidRPr="00EA77A3">
        <w:t xml:space="preserve"> en J. </w:t>
      </w:r>
      <w:proofErr w:type="spellStart"/>
      <w:r w:rsidRPr="00EA77A3">
        <w:t>Vandroogenbroeck</w:t>
      </w:r>
      <w:proofErr w:type="spellEnd"/>
      <w:r w:rsidRPr="00EA77A3">
        <w:t xml:space="preserve"> (</w:t>
      </w:r>
      <w:proofErr w:type="spellStart"/>
      <w:r w:rsidRPr="00EA77A3">
        <w:t>eds</w:t>
      </w:r>
      <w:proofErr w:type="spellEnd"/>
      <w:r w:rsidRPr="00EA77A3">
        <w:t xml:space="preserve">), </w:t>
      </w:r>
      <w:proofErr w:type="spellStart"/>
      <w:r w:rsidRPr="00EA77A3">
        <w:t>Larcier</w:t>
      </w:r>
      <w:proofErr w:type="spellEnd"/>
      <w:r w:rsidRPr="00EA77A3">
        <w:t>, Brussel, 2015, 16</w:t>
      </w:r>
      <w:r>
        <w:t>.</w:t>
      </w:r>
    </w:p>
  </w:footnote>
  <w:footnote w:id="9">
    <w:p w14:paraId="5E1694FD" w14:textId="333262F3" w:rsidR="00EA77A3" w:rsidRDefault="00EA77A3">
      <w:pPr>
        <w:pStyle w:val="Voetnoottekst"/>
      </w:pPr>
      <w:r>
        <w:rPr>
          <w:rStyle w:val="Voetnootmarkering"/>
        </w:rPr>
        <w:footnoteRef/>
      </w:r>
      <w:r>
        <w:t xml:space="preserve"> </w:t>
      </w:r>
      <w:r w:rsidRPr="00EA77A3">
        <w:t xml:space="preserve">Orde </w:t>
      </w:r>
      <w:proofErr w:type="spellStart"/>
      <w:r w:rsidRPr="00EA77A3">
        <w:t>express</w:t>
      </w:r>
      <w:proofErr w:type="spellEnd"/>
      <w:r w:rsidRPr="00EA77A3">
        <w:t>, Nieuwsbrief 4, jaargang 12- 23 februari 2017</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FF9E2" w14:textId="770A4D33" w:rsidR="00771AF6" w:rsidRPr="00771AF6" w:rsidRDefault="00771AF6" w:rsidP="00771AF6">
    <w:pPr>
      <w:rPr>
        <w:rFonts w:ascii="Verdana" w:hAnsi="Verdana"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F787B"/>
    <w:multiLevelType w:val="hybridMultilevel"/>
    <w:tmpl w:val="E8709D92"/>
    <w:lvl w:ilvl="0" w:tplc="EEE2E702">
      <w:numFmt w:val="decimal"/>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44F536F6"/>
    <w:multiLevelType w:val="hybridMultilevel"/>
    <w:tmpl w:val="D9DC5C18"/>
    <w:lvl w:ilvl="0" w:tplc="044C2B42">
      <w:start w:val="1"/>
      <w:numFmt w:val="decimal"/>
      <w:lvlText w:val="%1)"/>
      <w:lvlJc w:val="left"/>
      <w:pPr>
        <w:ind w:left="2356" w:hanging="360"/>
      </w:pPr>
      <w:rPr>
        <w:rFonts w:hint="default"/>
      </w:rPr>
    </w:lvl>
    <w:lvl w:ilvl="1" w:tplc="08130019" w:tentative="1">
      <w:start w:val="1"/>
      <w:numFmt w:val="lowerLetter"/>
      <w:lvlText w:val="%2."/>
      <w:lvlJc w:val="left"/>
      <w:pPr>
        <w:ind w:left="3076" w:hanging="360"/>
      </w:pPr>
    </w:lvl>
    <w:lvl w:ilvl="2" w:tplc="0813001B" w:tentative="1">
      <w:start w:val="1"/>
      <w:numFmt w:val="lowerRoman"/>
      <w:lvlText w:val="%3."/>
      <w:lvlJc w:val="right"/>
      <w:pPr>
        <w:ind w:left="3796" w:hanging="180"/>
      </w:pPr>
    </w:lvl>
    <w:lvl w:ilvl="3" w:tplc="0813000F" w:tentative="1">
      <w:start w:val="1"/>
      <w:numFmt w:val="decimal"/>
      <w:lvlText w:val="%4."/>
      <w:lvlJc w:val="left"/>
      <w:pPr>
        <w:ind w:left="4516" w:hanging="360"/>
      </w:pPr>
    </w:lvl>
    <w:lvl w:ilvl="4" w:tplc="08130019" w:tentative="1">
      <w:start w:val="1"/>
      <w:numFmt w:val="lowerLetter"/>
      <w:lvlText w:val="%5."/>
      <w:lvlJc w:val="left"/>
      <w:pPr>
        <w:ind w:left="5236" w:hanging="360"/>
      </w:pPr>
    </w:lvl>
    <w:lvl w:ilvl="5" w:tplc="0813001B" w:tentative="1">
      <w:start w:val="1"/>
      <w:numFmt w:val="lowerRoman"/>
      <w:lvlText w:val="%6."/>
      <w:lvlJc w:val="right"/>
      <w:pPr>
        <w:ind w:left="5956" w:hanging="180"/>
      </w:pPr>
    </w:lvl>
    <w:lvl w:ilvl="6" w:tplc="0813000F" w:tentative="1">
      <w:start w:val="1"/>
      <w:numFmt w:val="decimal"/>
      <w:lvlText w:val="%7."/>
      <w:lvlJc w:val="left"/>
      <w:pPr>
        <w:ind w:left="6676" w:hanging="360"/>
      </w:pPr>
    </w:lvl>
    <w:lvl w:ilvl="7" w:tplc="08130019" w:tentative="1">
      <w:start w:val="1"/>
      <w:numFmt w:val="lowerLetter"/>
      <w:lvlText w:val="%8."/>
      <w:lvlJc w:val="left"/>
      <w:pPr>
        <w:ind w:left="7396" w:hanging="360"/>
      </w:pPr>
    </w:lvl>
    <w:lvl w:ilvl="8" w:tplc="0813001B" w:tentative="1">
      <w:start w:val="1"/>
      <w:numFmt w:val="lowerRoman"/>
      <w:lvlText w:val="%9."/>
      <w:lvlJc w:val="right"/>
      <w:pPr>
        <w:ind w:left="8116" w:hanging="180"/>
      </w:pPr>
    </w:lvl>
  </w:abstractNum>
  <w:abstractNum w:abstractNumId="2" w15:restartNumberingAfterBreak="0">
    <w:nsid w:val="55AA2171"/>
    <w:multiLevelType w:val="hybridMultilevel"/>
    <w:tmpl w:val="3E942EAE"/>
    <w:lvl w:ilvl="0" w:tplc="8BFCB520">
      <w:start w:val="1"/>
      <w:numFmt w:val="upperRoman"/>
      <w:lvlText w:val="%1."/>
      <w:lvlJc w:val="left"/>
      <w:pPr>
        <w:ind w:left="1996" w:hanging="72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3" w15:restartNumberingAfterBreak="0">
    <w:nsid w:val="68EC0125"/>
    <w:multiLevelType w:val="hybridMultilevel"/>
    <w:tmpl w:val="3D16DC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876297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9421764">
    <w:abstractNumId w:val="1"/>
  </w:num>
  <w:num w:numId="3" w16cid:durableId="998653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90F"/>
    <w:rsid w:val="0011059E"/>
    <w:rsid w:val="001B439E"/>
    <w:rsid w:val="00227634"/>
    <w:rsid w:val="0029632B"/>
    <w:rsid w:val="002F2006"/>
    <w:rsid w:val="005A0715"/>
    <w:rsid w:val="005C7CC8"/>
    <w:rsid w:val="00606595"/>
    <w:rsid w:val="00611398"/>
    <w:rsid w:val="007566F8"/>
    <w:rsid w:val="00771AF6"/>
    <w:rsid w:val="0081618D"/>
    <w:rsid w:val="008B66F8"/>
    <w:rsid w:val="008C128A"/>
    <w:rsid w:val="0098090F"/>
    <w:rsid w:val="00A02FD7"/>
    <w:rsid w:val="00A0728F"/>
    <w:rsid w:val="00AF4D2D"/>
    <w:rsid w:val="00BE1117"/>
    <w:rsid w:val="00CE0A20"/>
    <w:rsid w:val="00D5104E"/>
    <w:rsid w:val="00EA77A3"/>
    <w:rsid w:val="00F04EBD"/>
    <w:rsid w:val="00F14900"/>
    <w:rsid w:val="00F74DB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B4E4C"/>
  <w15:chartTrackingRefBased/>
  <w15:docId w15:val="{4084E5FE-63E6-483F-BF2A-A7CB528A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8090F"/>
    <w:rPr>
      <w:rFonts w:ascii="Calibri" w:eastAsia="Times New Roman" w:hAnsi="Calibri" w:cs="Times New Roman"/>
      <w:lang w:eastAsia="nl-BE"/>
    </w:rPr>
  </w:style>
  <w:style w:type="paragraph" w:styleId="Kop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link w:val="PlattetekstinspringenChar"/>
    <w:uiPriority w:val="99"/>
    <w:semiHidden/>
    <w:unhideWhenUsed/>
    <w:rsid w:val="0098090F"/>
    <w:pPr>
      <w:spacing w:after="120" w:line="240" w:lineRule="auto"/>
      <w:ind w:left="283"/>
    </w:pPr>
    <w:rPr>
      <w:rFonts w:ascii="Times New Roman" w:hAnsi="Times New Roman"/>
    </w:rPr>
  </w:style>
  <w:style w:type="character" w:customStyle="1" w:styleId="PlattetekstinspringenChar">
    <w:name w:val="Platte tekst inspringen Char"/>
    <w:basedOn w:val="Standaardalinea-lettertype"/>
    <w:link w:val="Plattetekstinspringen"/>
    <w:uiPriority w:val="99"/>
    <w:semiHidden/>
    <w:rsid w:val="0098090F"/>
    <w:rPr>
      <w:rFonts w:ascii="Times New Roman" w:eastAsia="Times New Roman" w:hAnsi="Times New Roman" w:cs="Times New Roman"/>
      <w:lang w:eastAsia="nl-BE"/>
    </w:rPr>
  </w:style>
  <w:style w:type="paragraph" w:customStyle="1" w:styleId="ProcedureTekst">
    <w:name w:val="ProcedureTekst"/>
    <w:basedOn w:val="Standaard"/>
    <w:uiPriority w:val="99"/>
    <w:qFormat/>
    <w:rsid w:val="0098090F"/>
    <w:pPr>
      <w:tabs>
        <w:tab w:val="left" w:pos="567"/>
        <w:tab w:val="right" w:pos="9072"/>
      </w:tabs>
      <w:spacing w:after="0" w:line="240" w:lineRule="auto"/>
    </w:pPr>
    <w:rPr>
      <w:rFonts w:ascii="Trebuchet MS" w:hAnsi="Trebuchet MS"/>
      <w:sz w:val="24"/>
      <w:szCs w:val="20"/>
      <w:lang w:eastAsia="fr-FR" w:bidi="he-IL"/>
    </w:rPr>
  </w:style>
  <w:style w:type="paragraph" w:customStyle="1" w:styleId="ConclusieTitel">
    <w:name w:val="ConclusieTitel"/>
    <w:basedOn w:val="Standaard"/>
    <w:uiPriority w:val="99"/>
    <w:rsid w:val="0098090F"/>
    <w:pPr>
      <w:pBdr>
        <w:top w:val="single" w:sz="4" w:space="1" w:color="auto"/>
        <w:left w:val="single" w:sz="4" w:space="4" w:color="auto"/>
        <w:bottom w:val="single" w:sz="4" w:space="1" w:color="auto"/>
        <w:right w:val="single" w:sz="4" w:space="4" w:color="auto"/>
      </w:pBdr>
      <w:shd w:val="clear" w:color="auto" w:fill="D9D9D9"/>
      <w:spacing w:after="0" w:line="240" w:lineRule="auto"/>
      <w:jc w:val="center"/>
    </w:pPr>
    <w:rPr>
      <w:rFonts w:ascii="Times New Roman" w:hAnsi="Times New Roman"/>
      <w:b/>
      <w:sz w:val="28"/>
      <w:lang w:val="en-US" w:eastAsia="en-US"/>
    </w:rPr>
  </w:style>
  <w:style w:type="character" w:styleId="Subtielebenadrukking">
    <w:name w:val="Subtle Emphasis"/>
    <w:uiPriority w:val="19"/>
    <w:qFormat/>
    <w:rsid w:val="0098090F"/>
    <w:rPr>
      <w:i/>
      <w:iCs/>
      <w:color w:val="404040"/>
    </w:rPr>
  </w:style>
  <w:style w:type="paragraph" w:styleId="Koptekst">
    <w:name w:val="header"/>
    <w:basedOn w:val="Standaard"/>
    <w:link w:val="KoptekstChar"/>
    <w:uiPriority w:val="99"/>
    <w:unhideWhenUsed/>
    <w:rsid w:val="00771AF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71AF6"/>
    <w:rPr>
      <w:rFonts w:ascii="Calibri" w:eastAsia="Times New Roman" w:hAnsi="Calibri" w:cs="Times New Roman"/>
      <w:lang w:eastAsia="nl-BE"/>
    </w:rPr>
  </w:style>
  <w:style w:type="paragraph" w:styleId="Voettekst">
    <w:name w:val="footer"/>
    <w:basedOn w:val="Standaard"/>
    <w:link w:val="VoettekstChar"/>
    <w:uiPriority w:val="99"/>
    <w:unhideWhenUsed/>
    <w:rsid w:val="00771AF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71AF6"/>
    <w:rPr>
      <w:rFonts w:ascii="Calibri" w:eastAsia="Times New Roman" w:hAnsi="Calibri" w:cs="Times New Roman"/>
      <w:lang w:eastAsia="nl-BE"/>
    </w:rPr>
  </w:style>
  <w:style w:type="character" w:styleId="Hyperlink">
    <w:name w:val="Hyperlink"/>
    <w:uiPriority w:val="99"/>
    <w:unhideWhenUsed/>
    <w:rPr>
      <w:color w:val="0563C1" w:themeColor="hyperlink"/>
      <w:u w:val="single"/>
    </w:rPr>
  </w:style>
  <w:style w:type="paragraph" w:styleId="Voetnoottekst">
    <w:name w:val="footnote text"/>
    <w:basedOn w:val="Standaard"/>
    <w:link w:val="VoetnoottekstChar"/>
    <w:uiPriority w:val="99"/>
    <w:semiHidden/>
    <w:unhideWhenUsed/>
    <w:rsid w:val="00611398"/>
    <w:pPr>
      <w:spacing w:after="0" w:line="240" w:lineRule="auto"/>
    </w:pPr>
    <w:rPr>
      <w:rFonts w:eastAsia="Calibri"/>
      <w:sz w:val="20"/>
      <w:szCs w:val="20"/>
      <w:lang w:eastAsia="en-US"/>
    </w:rPr>
  </w:style>
  <w:style w:type="character" w:customStyle="1" w:styleId="VoetnoottekstChar">
    <w:name w:val="Voetnoottekst Char"/>
    <w:basedOn w:val="Standaardalinea-lettertype"/>
    <w:link w:val="Voetnoottekst"/>
    <w:uiPriority w:val="99"/>
    <w:semiHidden/>
    <w:rsid w:val="00611398"/>
    <w:rPr>
      <w:rFonts w:ascii="Calibri" w:eastAsia="Calibri" w:hAnsi="Calibri" w:cs="Times New Roman"/>
      <w:sz w:val="20"/>
      <w:szCs w:val="20"/>
    </w:rPr>
  </w:style>
  <w:style w:type="character" w:styleId="Voetnootmarkering">
    <w:name w:val="footnote reference"/>
    <w:uiPriority w:val="99"/>
    <w:semiHidden/>
    <w:unhideWhenUsed/>
    <w:rsid w:val="00611398"/>
    <w:rPr>
      <w:vertAlign w:val="superscript"/>
    </w:rPr>
  </w:style>
  <w:style w:type="paragraph" w:styleId="Tekstzonderopmaak">
    <w:name w:val="Plain Text"/>
    <w:basedOn w:val="Standaard"/>
    <w:link w:val="TekstzonderopmaakChar"/>
    <w:uiPriority w:val="99"/>
    <w:semiHidden/>
    <w:unhideWhenUsed/>
    <w:rsid w:val="00611398"/>
    <w:pPr>
      <w:spacing w:after="0" w:line="240" w:lineRule="auto"/>
    </w:pPr>
    <w:rPr>
      <w:rFonts w:ascii="Consolas" w:eastAsia="Calibri" w:hAnsi="Consolas"/>
      <w:sz w:val="21"/>
      <w:szCs w:val="21"/>
    </w:rPr>
  </w:style>
  <w:style w:type="character" w:customStyle="1" w:styleId="TekstzonderopmaakChar">
    <w:name w:val="Tekst zonder opmaak Char"/>
    <w:basedOn w:val="Standaardalinea-lettertype"/>
    <w:link w:val="Tekstzonderopmaak"/>
    <w:uiPriority w:val="99"/>
    <w:semiHidden/>
    <w:rsid w:val="00611398"/>
    <w:rPr>
      <w:rFonts w:ascii="Consolas" w:eastAsia="Calibri" w:hAnsi="Consolas" w:cs="Times New Roman"/>
      <w:sz w:val="21"/>
      <w:szCs w:val="21"/>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ustice.just.fgov.be/cgi_loi/loi_a1.pl?language=nl&amp;la=N&amp;table_name=wet&amp;cn=1867060801&amp;&amp;caller=list&amp;N&amp;fromtab=wet&amp;tri=dd+AS+RANK&amp;rech=1&amp;numero=1&amp;sql=(text+contain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justice.just.fgov.be/cgi_loi/loi_a1.pl?language=nl&amp;la=N&amp;table_name=wet&amp;cn=1867060801&amp;&amp;caller=list&amp;N&amp;fromtab=wet&amp;tri=dd+AS+RANK&amp;rech=1&amp;numero=1&amp;sql=(text+contain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ass.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1612</Words>
  <Characters>8867</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Brecht Pype</dc:creator>
  <cp:keywords/>
  <dc:description/>
  <cp:lastModifiedBy>Maxine Windey</cp:lastModifiedBy>
  <cp:revision>2</cp:revision>
  <dcterms:created xsi:type="dcterms:W3CDTF">2024-02-16T14:52:00Z</dcterms:created>
  <dcterms:modified xsi:type="dcterms:W3CDTF">2024-02-16T14:52:00Z</dcterms:modified>
</cp:coreProperties>
</file>