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1BC3142D"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0F7B5E">
        <w:rPr>
          <w:rFonts w:asciiTheme="minorHAnsi" w:hAnsiTheme="minorHAnsi" w:cstheme="minorHAnsi"/>
          <w:b/>
          <w:bCs/>
          <w:lang w:val="nl-NL" w:bidi="nl-BE"/>
        </w:rPr>
        <w:t>DE HEER/MEVROUW …</w:t>
      </w:r>
      <w:r w:rsidR="00771AF6" w:rsidRPr="00771AF6">
        <w:rPr>
          <w:rFonts w:asciiTheme="minorHAnsi" w:hAnsiTheme="minorHAnsi" w:cstheme="minorHAnsi"/>
          <w:lang w:val="nl-NL" w:bidi="nl-BE"/>
        </w:rPr>
        <w:t xml:space="preserve">, </w:t>
      </w:r>
      <w:r w:rsidR="00FE1E01">
        <w:rPr>
          <w:rFonts w:asciiTheme="minorHAnsi" w:hAnsiTheme="minorHAnsi" w:cstheme="minorHAnsi"/>
          <w:lang w:bidi="nl-BE"/>
        </w:rPr>
        <w:t xml:space="preserve">geboren op </w:t>
      </w:r>
      <w:r w:rsidR="000F7B5E">
        <w:rPr>
          <w:rFonts w:asciiTheme="minorHAnsi" w:hAnsiTheme="minorHAnsi" w:cstheme="minorHAnsi"/>
          <w:lang w:bidi="nl-BE"/>
        </w:rPr>
        <w:t>…</w:t>
      </w:r>
      <w:r w:rsidR="00FE1E01">
        <w:rPr>
          <w:rFonts w:asciiTheme="minorHAnsi" w:hAnsiTheme="minorHAnsi" w:cstheme="minorHAnsi"/>
          <w:lang w:bidi="nl-BE"/>
        </w:rPr>
        <w:t xml:space="preserve"> en wonende te </w:t>
      </w:r>
      <w:r w:rsidR="000F7B5E">
        <w:rPr>
          <w:rFonts w:asciiTheme="minorHAnsi" w:hAnsiTheme="minorHAnsi" w:cstheme="minorHAnsi"/>
          <w:lang w:bidi="nl-BE"/>
        </w:rPr>
        <w:t>…</w:t>
      </w:r>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25E9BA65"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proofErr w:type="spellStart"/>
      <w:r w:rsidRPr="001D55D9">
        <w:rPr>
          <w:rFonts w:ascii="Calibri" w:hAnsi="Calibri" w:cs="Calibri"/>
        </w:rPr>
        <w:t>Augustyns</w:t>
      </w:r>
      <w:proofErr w:type="spellEnd"/>
      <w:r w:rsidRPr="001D55D9">
        <w:rPr>
          <w:rFonts w:ascii="Calibri" w:hAnsi="Calibri" w:cs="Calibri"/>
        </w:rPr>
        <w:t xml:space="preserve"> Len, met kantoor te 2018 Antwerpen, aan de Brusselstraat 51.</w:t>
      </w:r>
    </w:p>
    <w:p w14:paraId="33EB5E85" w14:textId="77777777" w:rsidR="0098090F" w:rsidRPr="001D55D9" w:rsidRDefault="0098090F" w:rsidP="0098090F">
      <w:pPr>
        <w:pStyle w:val="Plattetekstinspringen"/>
        <w:ind w:left="1410"/>
        <w:jc w:val="both"/>
        <w:rPr>
          <w:rFonts w:ascii="Calibri" w:hAnsi="Calibri" w:cs="Calibri"/>
        </w:rPr>
      </w:pPr>
    </w:p>
    <w:p w14:paraId="43FE4214" w14:textId="2B818E94" w:rsidR="00771AF6" w:rsidRPr="00456416" w:rsidRDefault="0098090F" w:rsidP="00771AF6">
      <w:pPr>
        <w:ind w:left="1418" w:hanging="1418"/>
        <w:rPr>
          <w:rFonts w:ascii="Verdana" w:hAnsi="Verdana" w:cs="Arial"/>
          <w:sz w:val="18"/>
          <w:szCs w:val="18"/>
          <w:lang w:bidi="nl-BE"/>
        </w:rPr>
      </w:pPr>
      <w:r w:rsidRPr="001D55D9">
        <w:rPr>
          <w:rFonts w:cs="Calibri"/>
          <w:b/>
          <w:u w:val="single"/>
        </w:rPr>
        <w:t>TEGEN:</w:t>
      </w:r>
      <w:r w:rsidRPr="001D55D9">
        <w:rPr>
          <w:rFonts w:cs="Calibri"/>
        </w:rPr>
        <w:tab/>
      </w:r>
      <w:r w:rsidR="00771AF6" w:rsidRPr="008C128A">
        <w:rPr>
          <w:rFonts w:asciiTheme="minorHAnsi" w:hAnsiTheme="minorHAnsi" w:cstheme="minorHAnsi"/>
          <w:lang w:bidi="nl-BE"/>
        </w:rPr>
        <w:t xml:space="preserve"> namens , ,te </w:t>
      </w:r>
      <w:r w:rsidR="00771AF6" w:rsidRPr="008C128A">
        <w:rPr>
          <w:rFonts w:asciiTheme="minorHAnsi" w:hAnsiTheme="minorHAnsi" w:cstheme="minorHAnsi"/>
          <w:lang w:val="nl-NL" w:bidi="nl-BE"/>
        </w:rPr>
        <w:t xml:space="preserve"> </w:t>
      </w:r>
    </w:p>
    <w:p w14:paraId="7CF570AD" w14:textId="7FAD052B" w:rsidR="0098090F" w:rsidRPr="00606595" w:rsidRDefault="00606595" w:rsidP="00606595">
      <w:pPr>
        <w:ind w:left="1418"/>
        <w:rPr>
          <w:rFonts w:asciiTheme="minorHAnsi" w:hAnsiTheme="minorHAnsi" w:cstheme="minorHAnsi"/>
        </w:rPr>
      </w:pPr>
      <w:r w:rsidRPr="00606595">
        <w:rPr>
          <w:rFonts w:asciiTheme="minorHAnsi" w:hAnsiTheme="minorHAnsi" w:cstheme="minorHAnsi"/>
        </w:rPr>
        <w:t xml:space="preserve">Hebbende als advocaat </w:t>
      </w:r>
      <w:r w:rsidRPr="00606595">
        <w:rPr>
          <w:rFonts w:asciiTheme="minorHAnsi" w:hAnsiTheme="minorHAnsi" w:cstheme="minorHAnsi"/>
          <w:lang w:bidi="nl-BE"/>
        </w:rPr>
        <w:t>,</w:t>
      </w:r>
      <w:r w:rsidRPr="00606595">
        <w:rPr>
          <w:rFonts w:asciiTheme="minorHAnsi" w:hAnsiTheme="minorHAnsi" w:cstheme="minorHAnsi"/>
          <w:lang w:val="nl-NL" w:bidi="nl-BE"/>
        </w:rPr>
        <w:t xml:space="preserve"> advocate </w:t>
      </w:r>
      <w:r w:rsidRPr="00606595">
        <w:rPr>
          <w:rFonts w:asciiTheme="minorHAnsi" w:hAnsiTheme="minorHAnsi" w:cstheme="minorHAnsi"/>
          <w:lang w:bidi="nl-BE"/>
        </w:rPr>
        <w:t xml:space="preserve">, met kantoor te  </w:t>
      </w:r>
    </w:p>
    <w:p w14:paraId="6EF09122" w14:textId="77777777" w:rsidR="0098090F" w:rsidRPr="001D55D9" w:rsidRDefault="0098090F" w:rsidP="0098090F">
      <w:pPr>
        <w:pBdr>
          <w:bottom w:val="single" w:sz="6" w:space="1" w:color="auto"/>
        </w:pBdr>
        <w:rPr>
          <w:rFonts w:cs="Calibri"/>
        </w:rPr>
      </w:pPr>
    </w:p>
    <w:p w14:paraId="1DFCC1F6" w14:textId="77777777" w:rsidR="0098090F" w:rsidRPr="001D55D9" w:rsidRDefault="0098090F" w:rsidP="0098090F">
      <w:pPr>
        <w:pStyle w:val="ProcedureTekst"/>
        <w:jc w:val="center"/>
        <w:rPr>
          <w:rFonts w:ascii="Calibri" w:hAnsi="Calibri" w:cs="Calibri"/>
          <w:sz w:val="22"/>
          <w:szCs w:val="22"/>
        </w:rPr>
      </w:pPr>
    </w:p>
    <w:p w14:paraId="0292D05B" w14:textId="77777777" w:rsidR="0098090F" w:rsidRPr="001D55D9" w:rsidRDefault="0098090F" w:rsidP="00FE1E01">
      <w:pPr>
        <w:pStyle w:val="ProcedureTekst"/>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096E4D33" w14:textId="6E19577A" w:rsidR="0098090F" w:rsidRPr="001D55D9" w:rsidRDefault="0098090F" w:rsidP="0098090F">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6794587E" w14:textId="77777777" w:rsidR="0098090F" w:rsidRPr="001D55D9" w:rsidRDefault="0098090F" w:rsidP="0098090F">
      <w:pPr>
        <w:pBdr>
          <w:bottom w:val="single" w:sz="6" w:space="1" w:color="auto"/>
        </w:pBdr>
        <w:rPr>
          <w:rFonts w:cs="Calibri"/>
        </w:rPr>
      </w:pP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71EEB74" w14:textId="77777777" w:rsidR="000F7B5E" w:rsidRDefault="000F7B5E">
      <w:pPr>
        <w:rPr>
          <w:rFonts w:cs="Calibri"/>
          <w:b/>
          <w:u w:val="single"/>
          <w:lang w:eastAsia="fr-FR" w:bidi="he-IL"/>
        </w:rPr>
      </w:pPr>
      <w:r>
        <w:rPr>
          <w:rFonts w:cs="Calibri"/>
          <w:b/>
          <w:u w:val="single"/>
        </w:rPr>
        <w:br w:type="page"/>
      </w:r>
    </w:p>
    <w:p w14:paraId="62FC2E98" w14:textId="24478751"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70654BF1" w14:textId="77777777" w:rsidR="00FE1E01" w:rsidRDefault="00FE1E01" w:rsidP="00FE1E01">
      <w:pPr>
        <w:pStyle w:val="ProcedureTekst"/>
        <w:jc w:val="both"/>
        <w:rPr>
          <w:rFonts w:ascii="Calibri" w:hAnsi="Calibri" w:cs="Calibri"/>
          <w:b/>
          <w:sz w:val="22"/>
          <w:szCs w:val="22"/>
          <w:u w:val="single"/>
        </w:rPr>
      </w:pPr>
    </w:p>
    <w:p w14:paraId="6A5B1783" w14:textId="3CAC30F7" w:rsidR="00FE1E01" w:rsidRDefault="00FE1E01" w:rsidP="00FE1E01">
      <w:pPr>
        <w:pStyle w:val="ProcedureTekst"/>
        <w:jc w:val="both"/>
        <w:rPr>
          <w:rFonts w:ascii="Calibri" w:hAnsi="Calibri" w:cs="Calibri"/>
          <w:b/>
          <w:sz w:val="22"/>
          <w:szCs w:val="22"/>
          <w:u w:val="single"/>
        </w:rPr>
      </w:pPr>
      <w:r>
        <w:rPr>
          <w:rFonts w:ascii="Calibri" w:hAnsi="Calibri" w:cs="Calibri"/>
          <w:b/>
          <w:sz w:val="22"/>
          <w:szCs w:val="22"/>
          <w:u w:val="single"/>
        </w:rPr>
        <w:t>…</w:t>
      </w:r>
    </w:p>
    <w:p w14:paraId="42A95046" w14:textId="77777777" w:rsidR="00FE1E01" w:rsidRDefault="00FE1E01" w:rsidP="00FE1E01">
      <w:pPr>
        <w:pStyle w:val="ProcedureTekst"/>
        <w:jc w:val="both"/>
        <w:rPr>
          <w:rFonts w:ascii="Calibri" w:hAnsi="Calibri" w:cs="Calibri"/>
          <w:b/>
          <w:sz w:val="22"/>
          <w:szCs w:val="22"/>
          <w:u w:val="single"/>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6E482D15" w14:textId="490B3481" w:rsidR="00FE1E01" w:rsidRDefault="00FE1E01" w:rsidP="00FE1E01">
      <w:pPr>
        <w:pStyle w:val="ProcedureTekst"/>
        <w:jc w:val="both"/>
        <w:rPr>
          <w:rFonts w:ascii="Calibri" w:hAnsi="Calibri" w:cs="Calibri"/>
          <w:b/>
          <w:sz w:val="22"/>
          <w:szCs w:val="22"/>
          <w:u w:val="single"/>
        </w:rPr>
      </w:pPr>
    </w:p>
    <w:p w14:paraId="48B18006" w14:textId="77777777" w:rsidR="00FE1E01" w:rsidRDefault="00FE1E01" w:rsidP="00FE1E01">
      <w:pPr>
        <w:pStyle w:val="ProcedureTekst"/>
        <w:jc w:val="both"/>
        <w:rPr>
          <w:rFonts w:ascii="Calibri" w:hAnsi="Calibri" w:cs="Calibri"/>
          <w:b/>
          <w:sz w:val="22"/>
          <w:szCs w:val="22"/>
          <w:u w:val="single"/>
        </w:rPr>
      </w:pP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68648731"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 xml:space="preserve">Eerste </w:t>
      </w:r>
      <w:r w:rsidR="001E7422">
        <w:rPr>
          <w:rFonts w:ascii="Calibri" w:hAnsi="Calibri" w:cs="Calibri"/>
          <w:b/>
          <w:sz w:val="22"/>
          <w:szCs w:val="22"/>
          <w:u w:val="single"/>
        </w:rPr>
        <w:t xml:space="preserve">en enige </w:t>
      </w:r>
      <w:r>
        <w:rPr>
          <w:rFonts w:ascii="Calibri" w:hAnsi="Calibri" w:cs="Calibri"/>
          <w:b/>
          <w:sz w:val="22"/>
          <w:szCs w:val="22"/>
          <w:u w:val="single"/>
        </w:rPr>
        <w:t>middel</w:t>
      </w:r>
      <w:r w:rsidR="001E7422">
        <w:rPr>
          <w:rFonts w:ascii="Calibri" w:hAnsi="Calibri" w:cs="Calibri"/>
          <w:b/>
          <w:sz w:val="22"/>
          <w:szCs w:val="22"/>
          <w:u w:val="single"/>
        </w:rPr>
        <w:t>: “</w:t>
      </w:r>
      <w:r w:rsidR="001E7422" w:rsidRPr="001E7422">
        <w:rPr>
          <w:rFonts w:ascii="Calibri" w:hAnsi="Calibri" w:cs="Calibri"/>
          <w:b/>
          <w:i/>
          <w:iCs/>
          <w:sz w:val="22"/>
          <w:szCs w:val="22"/>
          <w:u w:val="single"/>
        </w:rPr>
        <w:t xml:space="preserve">Nemo tenetur se </w:t>
      </w:r>
      <w:proofErr w:type="spellStart"/>
      <w:r w:rsidR="001E7422" w:rsidRPr="001E7422">
        <w:rPr>
          <w:rFonts w:ascii="Calibri" w:hAnsi="Calibri" w:cs="Calibri"/>
          <w:b/>
          <w:i/>
          <w:iCs/>
          <w:sz w:val="22"/>
          <w:szCs w:val="22"/>
          <w:u w:val="single"/>
        </w:rPr>
        <w:t>ipsum</w:t>
      </w:r>
      <w:proofErr w:type="spellEnd"/>
      <w:r w:rsidR="001E7422" w:rsidRPr="001E7422">
        <w:rPr>
          <w:rFonts w:ascii="Calibri" w:hAnsi="Calibri" w:cs="Calibri"/>
          <w:b/>
          <w:i/>
          <w:iCs/>
          <w:sz w:val="22"/>
          <w:szCs w:val="22"/>
          <w:u w:val="single"/>
        </w:rPr>
        <w:t xml:space="preserve"> </w:t>
      </w:r>
      <w:proofErr w:type="spellStart"/>
      <w:r w:rsidR="001E7422" w:rsidRPr="001E7422">
        <w:rPr>
          <w:rFonts w:ascii="Calibri" w:hAnsi="Calibri" w:cs="Calibri"/>
          <w:b/>
          <w:i/>
          <w:iCs/>
          <w:sz w:val="22"/>
          <w:szCs w:val="22"/>
          <w:u w:val="single"/>
        </w:rPr>
        <w:t>accusare</w:t>
      </w:r>
      <w:proofErr w:type="spellEnd"/>
      <w:r w:rsidR="001E7422" w:rsidRPr="001E7422">
        <w:rPr>
          <w:rFonts w:ascii="Calibri" w:hAnsi="Calibri" w:cs="Calibri"/>
          <w:b/>
          <w:sz w:val="22"/>
          <w:szCs w:val="22"/>
          <w:u w:val="single"/>
        </w:rPr>
        <w:t>”</w:t>
      </w:r>
    </w:p>
    <w:p w14:paraId="5BD54928" w14:textId="2DE1D329" w:rsidR="001E7422" w:rsidRDefault="001E7422" w:rsidP="001E7422">
      <w:pPr>
        <w:pStyle w:val="ProcedureTekst"/>
        <w:jc w:val="both"/>
        <w:rPr>
          <w:rFonts w:ascii="Calibri" w:hAnsi="Calibri" w:cs="Calibri"/>
          <w:bCs/>
          <w:sz w:val="22"/>
          <w:szCs w:val="22"/>
        </w:rPr>
      </w:pPr>
    </w:p>
    <w:p w14:paraId="2864D554" w14:textId="3F58D1CE" w:rsidR="00E012D7" w:rsidRDefault="00E012D7" w:rsidP="001E7422">
      <w:pPr>
        <w:pStyle w:val="ProcedureTekst"/>
        <w:jc w:val="both"/>
        <w:rPr>
          <w:rFonts w:ascii="Calibri" w:hAnsi="Calibri" w:cs="Calibri"/>
          <w:bCs/>
          <w:sz w:val="22"/>
          <w:szCs w:val="22"/>
        </w:rPr>
      </w:pPr>
      <w:r>
        <w:rPr>
          <w:rFonts w:ascii="Calibri" w:hAnsi="Calibri" w:cs="Calibri"/>
          <w:bCs/>
          <w:sz w:val="22"/>
          <w:szCs w:val="22"/>
        </w:rPr>
        <w:t xml:space="preserve">De verwachting of verplichting dat </w:t>
      </w:r>
      <w:r w:rsidR="00FE1E01">
        <w:rPr>
          <w:rFonts w:ascii="Calibri" w:hAnsi="Calibri" w:cs="Calibri"/>
          <w:bCs/>
          <w:sz w:val="22"/>
          <w:szCs w:val="22"/>
        </w:rPr>
        <w:t>concluant</w:t>
      </w:r>
      <w:r>
        <w:rPr>
          <w:rFonts w:ascii="Calibri" w:hAnsi="Calibri" w:cs="Calibri"/>
          <w:bCs/>
          <w:sz w:val="22"/>
          <w:szCs w:val="22"/>
        </w:rPr>
        <w:t xml:space="preserve"> zou overgaan</w:t>
      </w:r>
      <w:r w:rsidR="00FE1E01">
        <w:rPr>
          <w:rFonts w:ascii="Calibri" w:hAnsi="Calibri" w:cs="Calibri"/>
          <w:bCs/>
          <w:sz w:val="22"/>
          <w:szCs w:val="22"/>
        </w:rPr>
        <w:t xml:space="preserve"> tot het opstellen van een lijst met betrekking tot vennootschappen waarvoor concluant vermeende verboden handelingen gesteld zou hebben, strookt niet met de algemene rechtsbeginselen waartoe het verbod op zelf incriminatie behoort.</w:t>
      </w:r>
    </w:p>
    <w:p w14:paraId="5DB9CB85" w14:textId="77777777" w:rsidR="001E7422" w:rsidRDefault="001E7422" w:rsidP="001E7422">
      <w:pPr>
        <w:pStyle w:val="ProcedureTekst"/>
        <w:jc w:val="both"/>
        <w:rPr>
          <w:rFonts w:ascii="Calibri" w:hAnsi="Calibri" w:cs="Calibri"/>
          <w:bCs/>
          <w:sz w:val="22"/>
          <w:szCs w:val="22"/>
        </w:rPr>
      </w:pPr>
    </w:p>
    <w:p w14:paraId="75410B6D" w14:textId="5C5D56EF" w:rsidR="0090174F" w:rsidRDefault="001E7422" w:rsidP="001E7422">
      <w:pPr>
        <w:pStyle w:val="ProcedureTekst"/>
        <w:jc w:val="both"/>
        <w:rPr>
          <w:rFonts w:ascii="Calibri" w:hAnsi="Calibri" w:cs="Calibri"/>
          <w:bCs/>
          <w:sz w:val="22"/>
          <w:szCs w:val="22"/>
        </w:rPr>
      </w:pPr>
      <w:r>
        <w:rPr>
          <w:rFonts w:ascii="Calibri" w:hAnsi="Calibri" w:cs="Calibri"/>
          <w:bCs/>
          <w:sz w:val="22"/>
          <w:szCs w:val="22"/>
        </w:rPr>
        <w:t xml:space="preserve">Het recht om niet mee te moeten werken aan de eigen vervolging wordt onder andere beschermd bij artikel 14,3, g IVBPR (internationaal verdrag inzake burgerlijke en politieke rechten). </w:t>
      </w:r>
      <w:r w:rsidR="00FE1E01">
        <w:rPr>
          <w:rFonts w:ascii="Calibri" w:hAnsi="Calibri" w:cs="Calibri"/>
          <w:bCs/>
          <w:sz w:val="22"/>
          <w:szCs w:val="22"/>
        </w:rPr>
        <w:t>Dit artikel heeft uitsluitend betrekking op een strafprocedure, maar zet reeds de krijtlijnen uiteen.</w:t>
      </w:r>
      <w:r w:rsidR="00E012D7">
        <w:rPr>
          <w:rFonts w:ascii="Calibri" w:hAnsi="Calibri" w:cs="Calibri"/>
          <w:bCs/>
          <w:sz w:val="22"/>
          <w:szCs w:val="22"/>
        </w:rPr>
        <w:t xml:space="preserve"> Gelet op de door Uw college op gang getrokken strafprocedure kent dit eveneens zijn belang in onderhavig dossier.</w:t>
      </w:r>
    </w:p>
    <w:p w14:paraId="1AC74108" w14:textId="77777777" w:rsidR="0090174F" w:rsidRDefault="0090174F" w:rsidP="001E7422">
      <w:pPr>
        <w:pStyle w:val="ProcedureTekst"/>
        <w:jc w:val="both"/>
        <w:rPr>
          <w:rFonts w:ascii="Calibri" w:hAnsi="Calibri" w:cs="Calibri"/>
          <w:bCs/>
          <w:sz w:val="22"/>
          <w:szCs w:val="22"/>
        </w:rPr>
      </w:pPr>
    </w:p>
    <w:p w14:paraId="1928A51D" w14:textId="77777777" w:rsidR="00E012D7" w:rsidRDefault="00E012D7" w:rsidP="001E7422">
      <w:pPr>
        <w:pStyle w:val="ProcedureTekst"/>
        <w:jc w:val="both"/>
        <w:rPr>
          <w:rFonts w:ascii="Calibri" w:hAnsi="Calibri" w:cs="Calibri"/>
          <w:bCs/>
          <w:sz w:val="22"/>
          <w:szCs w:val="22"/>
        </w:rPr>
      </w:pPr>
    </w:p>
    <w:p w14:paraId="5587B059" w14:textId="77777777" w:rsidR="00E012D7" w:rsidRDefault="00E012D7" w:rsidP="001E7422">
      <w:pPr>
        <w:pStyle w:val="ProcedureTekst"/>
        <w:jc w:val="both"/>
        <w:rPr>
          <w:rFonts w:ascii="Calibri" w:hAnsi="Calibri" w:cs="Calibri"/>
          <w:bCs/>
          <w:sz w:val="22"/>
          <w:szCs w:val="22"/>
        </w:rPr>
      </w:pPr>
    </w:p>
    <w:p w14:paraId="41FD2171" w14:textId="6AF226AB" w:rsidR="00E012D7" w:rsidRDefault="001E7422" w:rsidP="001E7422">
      <w:pPr>
        <w:pStyle w:val="ProcedureTekst"/>
        <w:jc w:val="both"/>
        <w:rPr>
          <w:rFonts w:ascii="Calibri" w:hAnsi="Calibri" w:cs="Calibri"/>
          <w:bCs/>
          <w:sz w:val="22"/>
          <w:szCs w:val="22"/>
        </w:rPr>
      </w:pPr>
      <w:r>
        <w:rPr>
          <w:rFonts w:ascii="Calibri" w:hAnsi="Calibri" w:cs="Calibri"/>
          <w:bCs/>
          <w:sz w:val="22"/>
          <w:szCs w:val="22"/>
        </w:rPr>
        <w:t xml:space="preserve">Het </w:t>
      </w:r>
      <w:r w:rsidR="00E012D7">
        <w:rPr>
          <w:rFonts w:ascii="Calibri" w:hAnsi="Calibri" w:cs="Calibri"/>
          <w:bCs/>
          <w:sz w:val="22"/>
          <w:szCs w:val="22"/>
        </w:rPr>
        <w:t>rechts</w:t>
      </w:r>
      <w:r>
        <w:rPr>
          <w:rFonts w:ascii="Calibri" w:hAnsi="Calibri" w:cs="Calibri"/>
          <w:bCs/>
          <w:sz w:val="22"/>
          <w:szCs w:val="22"/>
        </w:rPr>
        <w:t>beginsel</w:t>
      </w:r>
      <w:r w:rsidR="00E012D7">
        <w:rPr>
          <w:rFonts w:ascii="Calibri" w:hAnsi="Calibri" w:cs="Calibri"/>
          <w:bCs/>
          <w:sz w:val="22"/>
          <w:szCs w:val="22"/>
        </w:rPr>
        <w:t xml:space="preserve"> om niet mee te moeten werken aan de eigen veroordeling</w:t>
      </w:r>
      <w:r>
        <w:rPr>
          <w:rFonts w:ascii="Calibri" w:hAnsi="Calibri" w:cs="Calibri"/>
          <w:bCs/>
          <w:sz w:val="22"/>
          <w:szCs w:val="22"/>
        </w:rPr>
        <w:t xml:space="preserve"> vindt </w:t>
      </w:r>
      <w:r w:rsidR="00E012D7">
        <w:rPr>
          <w:rFonts w:ascii="Calibri" w:hAnsi="Calibri" w:cs="Calibri"/>
          <w:bCs/>
          <w:sz w:val="22"/>
          <w:szCs w:val="22"/>
        </w:rPr>
        <w:t>eveneens</w:t>
      </w:r>
      <w:r>
        <w:rPr>
          <w:rFonts w:ascii="Calibri" w:hAnsi="Calibri" w:cs="Calibri"/>
          <w:bCs/>
          <w:sz w:val="22"/>
          <w:szCs w:val="22"/>
        </w:rPr>
        <w:t xml:space="preserve"> grondslag in artikel 6 van het EVRM (Europees Verdrag voor de Rechten van de Mens)</w:t>
      </w:r>
      <w:r w:rsidR="00E012D7">
        <w:rPr>
          <w:rFonts w:ascii="Calibri" w:hAnsi="Calibri" w:cs="Calibri"/>
          <w:bCs/>
          <w:sz w:val="22"/>
          <w:szCs w:val="22"/>
        </w:rPr>
        <w:t xml:space="preserve">. Dit artikel is niet uitsluitend van toepassing op strafprocedures, maar waarborgt in het algemeen een eerlijke procedure. </w:t>
      </w:r>
    </w:p>
    <w:p w14:paraId="4A68AAD6" w14:textId="77777777" w:rsidR="00E012D7" w:rsidRDefault="00E012D7" w:rsidP="001E7422">
      <w:pPr>
        <w:pStyle w:val="ProcedureTekst"/>
        <w:jc w:val="both"/>
        <w:rPr>
          <w:rFonts w:ascii="Calibri" w:hAnsi="Calibri" w:cs="Calibri"/>
          <w:bCs/>
          <w:sz w:val="22"/>
          <w:szCs w:val="22"/>
        </w:rPr>
      </w:pPr>
    </w:p>
    <w:p w14:paraId="20F46A2E" w14:textId="0075A79F" w:rsidR="0090174F" w:rsidRDefault="00E012D7" w:rsidP="001E7422">
      <w:pPr>
        <w:pStyle w:val="ProcedureTekst"/>
        <w:jc w:val="both"/>
        <w:rPr>
          <w:rFonts w:ascii="Calibri" w:hAnsi="Calibri" w:cs="Calibri"/>
          <w:bCs/>
          <w:sz w:val="22"/>
          <w:szCs w:val="22"/>
        </w:rPr>
      </w:pPr>
      <w:r>
        <w:rPr>
          <w:rFonts w:ascii="Calibri" w:hAnsi="Calibri" w:cs="Calibri"/>
          <w:bCs/>
          <w:sz w:val="22"/>
          <w:szCs w:val="22"/>
        </w:rPr>
        <w:t>Artikel 6 EVRM waarborgt onder andere het vermoeden van onschuld. He</w:t>
      </w:r>
      <w:r w:rsidR="0090174F">
        <w:rPr>
          <w:rFonts w:ascii="Calibri" w:hAnsi="Calibri" w:cs="Calibri"/>
          <w:bCs/>
          <w:sz w:val="22"/>
          <w:szCs w:val="22"/>
        </w:rPr>
        <w:t>t Europees Hof voor de Rechten van de Mens heeft reeds in zijn rechtspraak erkend dat het recht zichzelf niet te moeten beschuldigen, impliciet beschermd wordt door artikel 6 EVRM;</w:t>
      </w:r>
    </w:p>
    <w:p w14:paraId="22707248" w14:textId="77777777" w:rsidR="0090174F" w:rsidRDefault="0090174F" w:rsidP="001E7422">
      <w:pPr>
        <w:pStyle w:val="ProcedureTekst"/>
        <w:jc w:val="both"/>
        <w:rPr>
          <w:rFonts w:ascii="Calibri" w:hAnsi="Calibri" w:cs="Calibri"/>
          <w:bCs/>
          <w:sz w:val="22"/>
          <w:szCs w:val="22"/>
        </w:rPr>
      </w:pPr>
    </w:p>
    <w:p w14:paraId="0E2D26D1" w14:textId="0CACFBC5" w:rsidR="0090174F" w:rsidRDefault="0090174F" w:rsidP="0090174F">
      <w:pPr>
        <w:pStyle w:val="ProcedureTekst"/>
        <w:ind w:left="567"/>
        <w:jc w:val="both"/>
        <w:rPr>
          <w:rFonts w:ascii="Calibri" w:hAnsi="Calibri" w:cs="Calibri"/>
          <w:bCs/>
          <w:i/>
          <w:iCs/>
          <w:sz w:val="22"/>
          <w:szCs w:val="22"/>
          <w:lang w:val="en-US"/>
        </w:rPr>
      </w:pPr>
      <w:r>
        <w:rPr>
          <w:rFonts w:ascii="Calibri" w:hAnsi="Calibri" w:cs="Calibri"/>
          <w:bCs/>
          <w:sz w:val="22"/>
          <w:szCs w:val="22"/>
        </w:rPr>
        <w:tab/>
      </w:r>
      <w:r w:rsidRPr="0090174F">
        <w:rPr>
          <w:rFonts w:ascii="Calibri" w:hAnsi="Calibri" w:cs="Calibri"/>
          <w:bCs/>
          <w:i/>
          <w:iCs/>
          <w:sz w:val="22"/>
          <w:szCs w:val="22"/>
          <w:lang w:val="en-US"/>
        </w:rPr>
        <w:t xml:space="preserve">“Although not specifically mentioned in Article 6 of the Convention, the right to remain silent and the privilege against self-incrimination are generally </w:t>
      </w:r>
      <w:proofErr w:type="spellStart"/>
      <w:r w:rsidRPr="0090174F">
        <w:rPr>
          <w:rFonts w:ascii="Calibri" w:hAnsi="Calibri" w:cs="Calibri"/>
          <w:bCs/>
          <w:i/>
          <w:iCs/>
          <w:sz w:val="22"/>
          <w:szCs w:val="22"/>
          <w:lang w:val="en-US"/>
        </w:rPr>
        <w:t>recognised</w:t>
      </w:r>
      <w:proofErr w:type="spellEnd"/>
      <w:r w:rsidRPr="0090174F">
        <w:rPr>
          <w:rFonts w:ascii="Calibri" w:hAnsi="Calibri" w:cs="Calibri"/>
          <w:bCs/>
          <w:i/>
          <w:iCs/>
          <w:sz w:val="22"/>
          <w:szCs w:val="22"/>
          <w:lang w:val="en-US"/>
        </w:rPr>
        <w:t xml:space="preserve"> international standards which lie at the heart of the notion of a fair procedure under Article 6 § 1. The right not to incriminate oneself in particular presupposes that the authorities seek to prove their case without resorting to evidence obtained through methods of coercion or oppression in defiance of the will of the “person charged”. By providing the accused with protection against improper compulsion by the authorities these immunities contribute to avoiding miscarriages of justice and securing the aims of Article 6 (see Funke, cited above; John Murray v. the United Kingdom, judgment of 8 February 1996, Reports 1996-I, p. 49, § 45; Saunders v. the United Kingdom, judgment of 17 December 1996, Reports 1996-VI, pp. 2064-65, §§ 68-69; and Serves v. France, judgment of 20 October 1997, Reports 1997</w:t>
      </w:r>
      <w:r w:rsidRPr="0090174F">
        <w:rPr>
          <w:rFonts w:ascii="Cambria Math" w:hAnsi="Cambria Math" w:cs="Cambria Math"/>
          <w:bCs/>
          <w:i/>
          <w:iCs/>
          <w:sz w:val="22"/>
          <w:szCs w:val="22"/>
          <w:lang w:val="en-US"/>
        </w:rPr>
        <w:t>‑</w:t>
      </w:r>
      <w:r w:rsidRPr="0090174F">
        <w:rPr>
          <w:rFonts w:ascii="Calibri" w:hAnsi="Calibri" w:cs="Calibri"/>
          <w:bCs/>
          <w:i/>
          <w:iCs/>
          <w:sz w:val="22"/>
          <w:szCs w:val="22"/>
          <w:lang w:val="en-US"/>
        </w:rPr>
        <w:t>VI, pp. 2173-74, § 46).</w:t>
      </w:r>
      <w:r>
        <w:rPr>
          <w:rFonts w:ascii="Calibri" w:hAnsi="Calibri" w:cs="Calibri"/>
          <w:bCs/>
          <w:i/>
          <w:iCs/>
          <w:sz w:val="22"/>
          <w:szCs w:val="22"/>
          <w:lang w:val="en-US"/>
        </w:rPr>
        <w:t>”</w:t>
      </w:r>
      <w:r>
        <w:rPr>
          <w:rStyle w:val="Voetnootmarkering"/>
          <w:rFonts w:ascii="Calibri" w:hAnsi="Calibri" w:cs="Calibri"/>
          <w:bCs/>
          <w:i/>
          <w:iCs/>
          <w:sz w:val="22"/>
          <w:szCs w:val="22"/>
          <w:lang w:val="en-US"/>
        </w:rPr>
        <w:footnoteReference w:id="1"/>
      </w:r>
    </w:p>
    <w:p w14:paraId="2EAD20A2" w14:textId="77777777" w:rsidR="0090174F" w:rsidRDefault="0090174F" w:rsidP="0090174F">
      <w:pPr>
        <w:pStyle w:val="ProcedureTekst"/>
        <w:ind w:left="567"/>
        <w:jc w:val="both"/>
        <w:rPr>
          <w:rFonts w:ascii="Calibri" w:hAnsi="Calibri" w:cs="Calibri"/>
          <w:bCs/>
          <w:i/>
          <w:iCs/>
          <w:sz w:val="22"/>
          <w:szCs w:val="22"/>
          <w:lang w:val="en-US"/>
        </w:rPr>
      </w:pPr>
    </w:p>
    <w:p w14:paraId="4C630C7A" w14:textId="2742BA41" w:rsidR="0090174F" w:rsidRPr="00E012D7" w:rsidRDefault="0090174F" w:rsidP="0090174F">
      <w:pPr>
        <w:pStyle w:val="ProcedureTekst"/>
        <w:ind w:left="567"/>
        <w:jc w:val="both"/>
        <w:rPr>
          <w:rFonts w:ascii="Calibri" w:hAnsi="Calibri" w:cs="Calibri"/>
          <w:bCs/>
          <w:sz w:val="22"/>
          <w:szCs w:val="22"/>
        </w:rPr>
      </w:pPr>
      <w:r w:rsidRPr="00E012D7">
        <w:rPr>
          <w:rFonts w:ascii="Calibri" w:hAnsi="Calibri" w:cs="Calibri"/>
          <w:bCs/>
          <w:sz w:val="22"/>
          <w:szCs w:val="22"/>
        </w:rPr>
        <w:t>Vrij vertaald:</w:t>
      </w:r>
    </w:p>
    <w:p w14:paraId="23E158F6" w14:textId="77777777" w:rsidR="0090174F" w:rsidRPr="00E012D7" w:rsidRDefault="0090174F" w:rsidP="0090174F">
      <w:pPr>
        <w:pStyle w:val="ProcedureTekst"/>
        <w:ind w:left="567"/>
        <w:jc w:val="both"/>
        <w:rPr>
          <w:rFonts w:ascii="Calibri" w:hAnsi="Calibri" w:cs="Calibri"/>
          <w:bCs/>
          <w:sz w:val="22"/>
          <w:szCs w:val="22"/>
        </w:rPr>
      </w:pPr>
    </w:p>
    <w:p w14:paraId="70F4B1C1" w14:textId="76541B7E" w:rsidR="00E012D7" w:rsidRPr="0090174F" w:rsidRDefault="0090174F" w:rsidP="00E012D7">
      <w:pPr>
        <w:pStyle w:val="ProcedureTekst"/>
        <w:ind w:left="567"/>
        <w:jc w:val="both"/>
        <w:rPr>
          <w:rFonts w:ascii="Calibri" w:hAnsi="Calibri" w:cs="Calibri"/>
          <w:bCs/>
          <w:i/>
          <w:iCs/>
          <w:sz w:val="22"/>
          <w:szCs w:val="22"/>
        </w:rPr>
      </w:pPr>
      <w:r w:rsidRPr="0090174F">
        <w:rPr>
          <w:rFonts w:ascii="Calibri" w:hAnsi="Calibri" w:cs="Calibri"/>
          <w:bCs/>
          <w:i/>
          <w:iCs/>
          <w:sz w:val="22"/>
          <w:szCs w:val="22"/>
        </w:rPr>
        <w:t>“Desondanks het niet letterlijk w</w:t>
      </w:r>
      <w:r>
        <w:rPr>
          <w:rFonts w:ascii="Calibri" w:hAnsi="Calibri" w:cs="Calibri"/>
          <w:bCs/>
          <w:i/>
          <w:iCs/>
          <w:sz w:val="22"/>
          <w:szCs w:val="22"/>
        </w:rPr>
        <w:t>ordt vermeld in artikel 6 van het Verdrag, worden het recht om te zwijgen en het recht zichzelf niet te beschuldigen aanzien als algemeen internationaal principe</w:t>
      </w:r>
      <w:r w:rsidR="00FE1E01">
        <w:rPr>
          <w:rFonts w:ascii="Calibri" w:hAnsi="Calibri" w:cs="Calibri"/>
          <w:bCs/>
          <w:i/>
          <w:iCs/>
          <w:sz w:val="22"/>
          <w:szCs w:val="22"/>
        </w:rPr>
        <w:t>s</w:t>
      </w:r>
      <w:r>
        <w:rPr>
          <w:rFonts w:ascii="Calibri" w:hAnsi="Calibri" w:cs="Calibri"/>
          <w:bCs/>
          <w:i/>
          <w:iCs/>
          <w:sz w:val="22"/>
          <w:szCs w:val="22"/>
        </w:rPr>
        <w:t xml:space="preserve"> die aan de basis liggen van het principe van een eerlijk proces, zoals beschermd wordt onder artikel 6§1. Het recht om zichzelf niet te beschuldigen veronderstelt dat de overheden hun </w:t>
      </w:r>
      <w:r>
        <w:rPr>
          <w:rFonts w:ascii="Calibri" w:hAnsi="Calibri" w:cs="Calibri"/>
          <w:bCs/>
          <w:i/>
          <w:iCs/>
          <w:sz w:val="22"/>
          <w:szCs w:val="22"/>
        </w:rPr>
        <w:lastRenderedPageBreak/>
        <w:t>zaak bewijzen zonder terug te moeten vallen op bewijzen bekomen door methodes van dwang of druk of tegen de wil van de aangeklaagde persoon. Door de beschuldigde te beschermen tegen onrechtmatige druk door de overheden wordt een bescherming ingebouwd tegen onjuiste en ongepaste uitspraken en worden de doelen van artikel 6 beschermd.”</w:t>
      </w:r>
    </w:p>
    <w:p w14:paraId="4386829E" w14:textId="77777777" w:rsidR="0090174F" w:rsidRPr="0090174F" w:rsidRDefault="0090174F" w:rsidP="001E7422">
      <w:pPr>
        <w:pStyle w:val="ProcedureTekst"/>
        <w:jc w:val="both"/>
        <w:rPr>
          <w:rFonts w:ascii="Calibri" w:hAnsi="Calibri" w:cs="Calibri"/>
          <w:bCs/>
          <w:sz w:val="22"/>
          <w:szCs w:val="22"/>
        </w:rPr>
      </w:pPr>
    </w:p>
    <w:p w14:paraId="317C5F30" w14:textId="77777777" w:rsidR="00FD0A60" w:rsidRDefault="001E7422" w:rsidP="001E7422">
      <w:pPr>
        <w:pStyle w:val="ProcedureTekst"/>
        <w:jc w:val="both"/>
        <w:rPr>
          <w:rFonts w:ascii="Calibri" w:hAnsi="Calibri" w:cs="Calibri"/>
          <w:bCs/>
          <w:sz w:val="22"/>
          <w:szCs w:val="22"/>
        </w:rPr>
      </w:pPr>
      <w:r>
        <w:rPr>
          <w:rFonts w:ascii="Calibri" w:hAnsi="Calibri" w:cs="Calibri"/>
          <w:bCs/>
          <w:sz w:val="22"/>
          <w:szCs w:val="22"/>
        </w:rPr>
        <w:t xml:space="preserve">Het komt </w:t>
      </w:r>
      <w:r w:rsidR="00FD0A60">
        <w:rPr>
          <w:rFonts w:ascii="Calibri" w:hAnsi="Calibri" w:cs="Calibri"/>
          <w:bCs/>
          <w:sz w:val="22"/>
          <w:szCs w:val="22"/>
        </w:rPr>
        <w:t xml:space="preserve">aldus </w:t>
      </w:r>
      <w:r>
        <w:rPr>
          <w:rFonts w:ascii="Calibri" w:hAnsi="Calibri" w:cs="Calibri"/>
          <w:bCs/>
          <w:sz w:val="22"/>
          <w:szCs w:val="22"/>
        </w:rPr>
        <w:t xml:space="preserve">aan de overheid toe om bewijzen te verzamelen tegen (potentiële) verdachten. </w:t>
      </w:r>
    </w:p>
    <w:p w14:paraId="62DCAD31" w14:textId="77777777" w:rsidR="00FD0A60" w:rsidRDefault="00FD0A60" w:rsidP="001E7422">
      <w:pPr>
        <w:pStyle w:val="ProcedureTekst"/>
        <w:jc w:val="both"/>
        <w:rPr>
          <w:rFonts w:ascii="Calibri" w:hAnsi="Calibri" w:cs="Calibri"/>
          <w:bCs/>
          <w:sz w:val="22"/>
          <w:szCs w:val="22"/>
        </w:rPr>
      </w:pPr>
    </w:p>
    <w:p w14:paraId="13EB2BA2" w14:textId="66EFC10D" w:rsidR="00FD0A60" w:rsidRDefault="00FD0A60" w:rsidP="001E7422">
      <w:pPr>
        <w:pStyle w:val="ProcedureTekst"/>
        <w:jc w:val="both"/>
        <w:rPr>
          <w:rFonts w:ascii="Calibri" w:hAnsi="Calibri" w:cs="Calibri"/>
          <w:bCs/>
          <w:sz w:val="22"/>
          <w:szCs w:val="22"/>
        </w:rPr>
      </w:pPr>
      <w:r>
        <w:rPr>
          <w:rFonts w:ascii="Calibri" w:hAnsi="Calibri" w:cs="Calibri"/>
          <w:bCs/>
          <w:sz w:val="22"/>
          <w:szCs w:val="22"/>
        </w:rPr>
        <w:t>Het verbod om gedwongen te worden zichzelf te incrimineren, is onlosmakelijk verbonden met het zwijgrecht. Beiden hebben tot doel om het recht op een eerlijk proces te vrijwaren. Deze rechten zouden niet alleen beschermen tegen druk van de overheid, maar daarnaast ook zorgen dat de overheid zich vooral beroept op materieel bewijs dat niet afhankelijk is van de vrije wil van de verdachte.</w:t>
      </w:r>
      <w:r>
        <w:rPr>
          <w:rStyle w:val="Voetnootmarkering"/>
          <w:rFonts w:ascii="Calibri" w:hAnsi="Calibri" w:cs="Calibri"/>
          <w:bCs/>
          <w:sz w:val="22"/>
          <w:szCs w:val="22"/>
        </w:rPr>
        <w:footnoteReference w:id="2"/>
      </w:r>
    </w:p>
    <w:p w14:paraId="77F65508" w14:textId="77777777" w:rsidR="00FD0A60" w:rsidRDefault="00FD0A60" w:rsidP="001E7422">
      <w:pPr>
        <w:pStyle w:val="ProcedureTekst"/>
        <w:jc w:val="both"/>
        <w:rPr>
          <w:rFonts w:ascii="Calibri" w:hAnsi="Calibri" w:cs="Calibri"/>
          <w:bCs/>
          <w:sz w:val="22"/>
          <w:szCs w:val="22"/>
        </w:rPr>
      </w:pPr>
    </w:p>
    <w:p w14:paraId="0B8D2E25" w14:textId="5FB11FF6" w:rsidR="001E7422" w:rsidRDefault="00FD0A60" w:rsidP="001E7422">
      <w:pPr>
        <w:pStyle w:val="ProcedureTekst"/>
        <w:jc w:val="both"/>
        <w:rPr>
          <w:rFonts w:ascii="Calibri" w:hAnsi="Calibri" w:cs="Calibri"/>
          <w:bCs/>
          <w:sz w:val="22"/>
          <w:szCs w:val="22"/>
        </w:rPr>
      </w:pPr>
      <w:r>
        <w:rPr>
          <w:rFonts w:ascii="Calibri" w:hAnsi="Calibri" w:cs="Calibri"/>
          <w:bCs/>
          <w:sz w:val="22"/>
          <w:szCs w:val="22"/>
        </w:rPr>
        <w:t>Dat n</w:t>
      </w:r>
      <w:r w:rsidR="001E7422">
        <w:rPr>
          <w:rFonts w:ascii="Calibri" w:hAnsi="Calibri" w:cs="Calibri"/>
          <w:bCs/>
          <w:sz w:val="22"/>
          <w:szCs w:val="22"/>
        </w:rPr>
        <w:t xml:space="preserve">iemand gedwongen </w:t>
      </w:r>
      <w:r>
        <w:rPr>
          <w:rFonts w:ascii="Calibri" w:hAnsi="Calibri" w:cs="Calibri"/>
          <w:bCs/>
          <w:sz w:val="22"/>
          <w:szCs w:val="22"/>
        </w:rPr>
        <w:t xml:space="preserve">kan </w:t>
      </w:r>
      <w:r w:rsidR="001E7422">
        <w:rPr>
          <w:rFonts w:ascii="Calibri" w:hAnsi="Calibri" w:cs="Calibri"/>
          <w:bCs/>
          <w:sz w:val="22"/>
          <w:szCs w:val="22"/>
        </w:rPr>
        <w:t>worden om mee te werken aan zijn eigen vervolging</w:t>
      </w:r>
      <w:r>
        <w:rPr>
          <w:rFonts w:ascii="Calibri" w:hAnsi="Calibri" w:cs="Calibri"/>
          <w:bCs/>
          <w:sz w:val="22"/>
          <w:szCs w:val="22"/>
        </w:rPr>
        <w:t xml:space="preserve">, wordt eveneens door het Hof van Cassatie erkend als algemeen rechtsprincipe: </w:t>
      </w:r>
    </w:p>
    <w:p w14:paraId="5E6EF03F" w14:textId="5E87D7BB" w:rsidR="000E5002" w:rsidRDefault="000E5002" w:rsidP="001E7422">
      <w:pPr>
        <w:pStyle w:val="ProcedureTekst"/>
        <w:jc w:val="both"/>
        <w:rPr>
          <w:rFonts w:ascii="Calibri" w:hAnsi="Calibri" w:cs="Calibri"/>
          <w:bCs/>
          <w:sz w:val="22"/>
          <w:szCs w:val="22"/>
        </w:rPr>
      </w:pPr>
    </w:p>
    <w:p w14:paraId="77F5D347" w14:textId="30351D21" w:rsidR="000E5002" w:rsidRPr="000E5002" w:rsidRDefault="000E5002" w:rsidP="000E5002">
      <w:pPr>
        <w:pStyle w:val="ProcedureTekst"/>
        <w:ind w:left="567"/>
        <w:jc w:val="both"/>
        <w:rPr>
          <w:rFonts w:ascii="Calibri" w:hAnsi="Calibri" w:cs="Calibri"/>
          <w:bCs/>
          <w:sz w:val="22"/>
          <w:szCs w:val="22"/>
        </w:rPr>
      </w:pPr>
      <w:r>
        <w:rPr>
          <w:rFonts w:ascii="Calibri" w:hAnsi="Calibri" w:cs="Calibri"/>
          <w:bCs/>
          <w:sz w:val="22"/>
          <w:szCs w:val="22"/>
        </w:rPr>
        <w:tab/>
      </w:r>
      <w:r>
        <w:rPr>
          <w:rFonts w:ascii="Calibri" w:hAnsi="Calibri" w:cs="Calibri"/>
          <w:bCs/>
          <w:i/>
          <w:iCs/>
          <w:sz w:val="22"/>
          <w:szCs w:val="22"/>
        </w:rPr>
        <w:t>“De belastingontduikers lieten zich in hun recht van verdediging verschalken, want tot dat recht behoorde ook hun zwijgrecht. Zoals de appelrechters vaststellen is het onderzoek hierdoor ‘in de wortel’ en ‘op zijn geheel aangetast’. De schending van het recht van verdediging volstaat om te beslissen dat de strafvervolging niet toelaatbaar is. Het bestreden arrest is met die redengeving naar recht verantwoord. De bewijsvoering was niet regelmatig; het in strijd met de algemene beginselen van het strafproces verkregen bewijsmateriaal mocht niet voor het bewijs worden gebruikt; aan een essentiële regel van het strafprocesrecht was niet de hand gehouden.”</w:t>
      </w:r>
      <w:r>
        <w:rPr>
          <w:rStyle w:val="Voetnootmarkering"/>
          <w:rFonts w:ascii="Calibri" w:hAnsi="Calibri" w:cs="Calibri"/>
          <w:bCs/>
          <w:i/>
          <w:iCs/>
          <w:sz w:val="22"/>
          <w:szCs w:val="22"/>
        </w:rPr>
        <w:footnoteReference w:id="3"/>
      </w:r>
    </w:p>
    <w:p w14:paraId="1DDCE995" w14:textId="77777777" w:rsidR="001E7422" w:rsidRDefault="001E7422" w:rsidP="001E7422">
      <w:pPr>
        <w:pStyle w:val="ProcedureTekst"/>
        <w:jc w:val="both"/>
        <w:rPr>
          <w:rFonts w:ascii="Calibri" w:hAnsi="Calibri" w:cs="Calibri"/>
          <w:bCs/>
          <w:sz w:val="22"/>
          <w:szCs w:val="22"/>
        </w:rPr>
      </w:pPr>
    </w:p>
    <w:p w14:paraId="49D302AC" w14:textId="77777777" w:rsidR="00FD0A60" w:rsidRDefault="00FD0A60" w:rsidP="001E7422">
      <w:pPr>
        <w:pStyle w:val="ProcedureTekst"/>
        <w:jc w:val="both"/>
        <w:rPr>
          <w:rFonts w:ascii="Calibri" w:hAnsi="Calibri" w:cs="Calibri"/>
          <w:bCs/>
          <w:sz w:val="22"/>
          <w:szCs w:val="22"/>
        </w:rPr>
      </w:pPr>
    </w:p>
    <w:p w14:paraId="723E65DB" w14:textId="77777777" w:rsidR="00FD0A60" w:rsidRDefault="00FD0A60" w:rsidP="001E7422">
      <w:pPr>
        <w:pStyle w:val="ProcedureTekst"/>
        <w:jc w:val="both"/>
        <w:rPr>
          <w:rFonts w:ascii="Calibri" w:hAnsi="Calibri" w:cs="Calibri"/>
          <w:bCs/>
          <w:sz w:val="22"/>
          <w:szCs w:val="22"/>
        </w:rPr>
      </w:pPr>
    </w:p>
    <w:p w14:paraId="035F9814" w14:textId="3F1A626B" w:rsidR="001D6DEE" w:rsidRDefault="000E5002" w:rsidP="001E7422">
      <w:pPr>
        <w:pStyle w:val="ProcedureTekst"/>
        <w:jc w:val="both"/>
        <w:rPr>
          <w:rFonts w:ascii="Calibri" w:hAnsi="Calibri" w:cs="Calibri"/>
          <w:bCs/>
          <w:sz w:val="22"/>
          <w:szCs w:val="22"/>
        </w:rPr>
      </w:pPr>
      <w:r>
        <w:rPr>
          <w:rFonts w:ascii="Calibri" w:hAnsi="Calibri" w:cs="Calibri"/>
          <w:bCs/>
          <w:sz w:val="22"/>
          <w:szCs w:val="22"/>
        </w:rPr>
        <w:t>Waar het zwijgrecht en verbod om gedwongen te worden zichzelf te incrimineren niet gelden in civielrechtelijke procedures, gelden deze rechten wel ten volle in tuchtrechtelijke procedures.</w:t>
      </w:r>
      <w:r w:rsidR="007D4E43">
        <w:rPr>
          <w:rFonts w:ascii="Calibri" w:hAnsi="Calibri" w:cs="Calibri"/>
          <w:bCs/>
          <w:sz w:val="22"/>
          <w:szCs w:val="22"/>
        </w:rPr>
        <w:t xml:space="preserve"> </w:t>
      </w:r>
    </w:p>
    <w:p w14:paraId="6655A3C5" w14:textId="77777777" w:rsidR="001D6DEE" w:rsidRDefault="001D6DEE" w:rsidP="001E7422">
      <w:pPr>
        <w:pStyle w:val="ProcedureTekst"/>
        <w:jc w:val="both"/>
        <w:rPr>
          <w:rFonts w:ascii="Calibri" w:hAnsi="Calibri" w:cs="Calibri"/>
          <w:bCs/>
          <w:sz w:val="22"/>
          <w:szCs w:val="22"/>
        </w:rPr>
      </w:pPr>
    </w:p>
    <w:p w14:paraId="761412C9" w14:textId="77777777" w:rsidR="00997875" w:rsidRDefault="007D4E43" w:rsidP="001E7422">
      <w:pPr>
        <w:pStyle w:val="ProcedureTekst"/>
        <w:jc w:val="both"/>
        <w:rPr>
          <w:rFonts w:ascii="Calibri" w:hAnsi="Calibri" w:cs="Calibri"/>
          <w:bCs/>
          <w:sz w:val="22"/>
          <w:szCs w:val="22"/>
        </w:rPr>
      </w:pPr>
      <w:r>
        <w:rPr>
          <w:rFonts w:ascii="Calibri" w:hAnsi="Calibri" w:cs="Calibri"/>
          <w:bCs/>
          <w:sz w:val="22"/>
          <w:szCs w:val="22"/>
        </w:rPr>
        <w:t xml:space="preserve">Hiertoe werd onder andere besloten in een arrest van het Grondwettelijk Hof in 2001. Daarbij werd opgeworpen door de Ministerraad dat tuchtonderhorigen eerlijkheid en loyauteit verschuldigd waren aan hun tuchtoverheid en dat daardoor het zwijgrecht geen doorgang kon vinden. </w:t>
      </w:r>
    </w:p>
    <w:p w14:paraId="54744C51" w14:textId="77777777" w:rsidR="00997875" w:rsidRDefault="00997875" w:rsidP="001E7422">
      <w:pPr>
        <w:pStyle w:val="ProcedureTekst"/>
        <w:jc w:val="both"/>
        <w:rPr>
          <w:rFonts w:ascii="Calibri" w:hAnsi="Calibri" w:cs="Calibri"/>
          <w:bCs/>
          <w:sz w:val="22"/>
          <w:szCs w:val="22"/>
        </w:rPr>
      </w:pPr>
    </w:p>
    <w:p w14:paraId="0F255C88" w14:textId="49F2C117" w:rsidR="001E7422" w:rsidRDefault="007D4E43" w:rsidP="001E7422">
      <w:pPr>
        <w:pStyle w:val="ProcedureTekst"/>
        <w:jc w:val="both"/>
        <w:rPr>
          <w:rFonts w:ascii="Calibri" w:hAnsi="Calibri" w:cs="Calibri"/>
          <w:bCs/>
          <w:sz w:val="22"/>
          <w:szCs w:val="22"/>
        </w:rPr>
      </w:pPr>
      <w:r>
        <w:rPr>
          <w:rFonts w:ascii="Calibri" w:hAnsi="Calibri" w:cs="Calibri"/>
          <w:bCs/>
          <w:sz w:val="22"/>
          <w:szCs w:val="22"/>
        </w:rPr>
        <w:t xml:space="preserve">Het Grondwettelijk Hof oordeelde dat men niet moet meewerken aan het onderzoek van </w:t>
      </w:r>
      <w:r w:rsidR="001D6DEE">
        <w:rPr>
          <w:rFonts w:ascii="Calibri" w:hAnsi="Calibri" w:cs="Calibri"/>
          <w:bCs/>
          <w:sz w:val="22"/>
          <w:szCs w:val="22"/>
        </w:rPr>
        <w:t xml:space="preserve">een overheid en dat zowel in tuchtzaken als in strafzaken het recht van verdediging als algemeen rechtsbeginsel in acht moet worden genomen en dat moet worden uitgegaan van het beginsel dat de bewijslast op de overheid </w:t>
      </w:r>
      <w:r w:rsidR="00E012D7">
        <w:rPr>
          <w:rFonts w:ascii="Calibri" w:hAnsi="Calibri" w:cs="Calibri"/>
          <w:bCs/>
          <w:sz w:val="22"/>
          <w:szCs w:val="22"/>
        </w:rPr>
        <w:t>rust</w:t>
      </w:r>
      <w:r w:rsidR="001D6DEE">
        <w:rPr>
          <w:rFonts w:ascii="Calibri" w:hAnsi="Calibri" w:cs="Calibri"/>
          <w:bCs/>
          <w:sz w:val="22"/>
          <w:szCs w:val="22"/>
        </w:rPr>
        <w:t>. De werkzaamheid van de tuchtprocedure houdt geen verplichting in voor de rechtsonderhorige om loyaal deel te nemen en op alle vragen te antwoorden aan een tuchtprocedure waarvan hij zelf het voorwerp is. Daarbij oordeelde het Grondwettelijk Hof dat het stilzitten van de betrokkene in de eigen zaak evenmin kan leiden tot een tuchtsanctie of een verzwaring ervan.</w:t>
      </w:r>
      <w:r w:rsidR="001D6DEE">
        <w:rPr>
          <w:rStyle w:val="Voetnootmarkering"/>
          <w:rFonts w:ascii="Calibri" w:hAnsi="Calibri" w:cs="Calibri"/>
          <w:bCs/>
          <w:sz w:val="22"/>
          <w:szCs w:val="22"/>
        </w:rPr>
        <w:footnoteReference w:id="4"/>
      </w:r>
    </w:p>
    <w:p w14:paraId="5C79F44E" w14:textId="77777777" w:rsidR="008B1DD9" w:rsidRDefault="008B1DD9" w:rsidP="001E7422">
      <w:pPr>
        <w:pStyle w:val="ProcedureTekst"/>
        <w:jc w:val="both"/>
        <w:rPr>
          <w:rFonts w:ascii="Calibri" w:hAnsi="Calibri" w:cs="Calibri"/>
          <w:bCs/>
          <w:sz w:val="22"/>
          <w:szCs w:val="22"/>
        </w:rPr>
      </w:pPr>
    </w:p>
    <w:p w14:paraId="4855A668" w14:textId="4A430AF2" w:rsidR="008B1DD9" w:rsidRDefault="00997875" w:rsidP="001E7422">
      <w:pPr>
        <w:pStyle w:val="ProcedureTekst"/>
        <w:jc w:val="both"/>
        <w:rPr>
          <w:rFonts w:ascii="Calibri" w:hAnsi="Calibri" w:cs="Calibri"/>
          <w:bCs/>
          <w:sz w:val="22"/>
          <w:szCs w:val="22"/>
        </w:rPr>
      </w:pPr>
      <w:r>
        <w:rPr>
          <w:rFonts w:ascii="Calibri" w:hAnsi="Calibri" w:cs="Calibri"/>
          <w:bCs/>
          <w:sz w:val="22"/>
          <w:szCs w:val="22"/>
        </w:rPr>
        <w:t>Deze z</w:t>
      </w:r>
      <w:r w:rsidR="008B1DD9">
        <w:rPr>
          <w:rFonts w:ascii="Calibri" w:hAnsi="Calibri" w:cs="Calibri"/>
          <w:bCs/>
          <w:sz w:val="22"/>
          <w:szCs w:val="22"/>
        </w:rPr>
        <w:t>ienswijze</w:t>
      </w:r>
      <w:r>
        <w:rPr>
          <w:rFonts w:ascii="Calibri" w:hAnsi="Calibri" w:cs="Calibri"/>
          <w:bCs/>
          <w:sz w:val="22"/>
          <w:szCs w:val="22"/>
        </w:rPr>
        <w:t xml:space="preserve"> werd bevestigd door het Hof van Cassatie</w:t>
      </w:r>
      <w:r w:rsidR="008B1DD9">
        <w:rPr>
          <w:rFonts w:ascii="Calibri" w:hAnsi="Calibri" w:cs="Calibri"/>
          <w:bCs/>
          <w:sz w:val="22"/>
          <w:szCs w:val="22"/>
        </w:rPr>
        <w:t xml:space="preserve"> in een arrest van 2011:</w:t>
      </w:r>
    </w:p>
    <w:p w14:paraId="67E5C5A0" w14:textId="77777777" w:rsidR="008B1DD9" w:rsidRDefault="008B1DD9" w:rsidP="001E7422">
      <w:pPr>
        <w:pStyle w:val="ProcedureTekst"/>
        <w:jc w:val="both"/>
        <w:rPr>
          <w:rFonts w:ascii="Calibri" w:hAnsi="Calibri" w:cs="Calibri"/>
          <w:bCs/>
          <w:sz w:val="22"/>
          <w:szCs w:val="22"/>
        </w:rPr>
      </w:pPr>
    </w:p>
    <w:p w14:paraId="219D33CF" w14:textId="46CD2E91" w:rsidR="008B1DD9" w:rsidRPr="008B1DD9" w:rsidRDefault="008B1DD9" w:rsidP="008B1DD9">
      <w:pPr>
        <w:pStyle w:val="ProcedureTekst"/>
        <w:ind w:left="567"/>
        <w:jc w:val="both"/>
        <w:rPr>
          <w:rFonts w:ascii="Calibri" w:hAnsi="Calibri" w:cs="Calibri"/>
          <w:bCs/>
          <w:sz w:val="22"/>
          <w:szCs w:val="22"/>
          <w:lang w:val="fr-FR"/>
        </w:rPr>
      </w:pPr>
      <w:r w:rsidRPr="008B1DD9">
        <w:rPr>
          <w:rFonts w:ascii="Calibri" w:hAnsi="Calibri" w:cs="Calibri"/>
          <w:bCs/>
          <w:sz w:val="22"/>
          <w:szCs w:val="22"/>
          <w:lang w:val="fr-FR"/>
        </w:rPr>
        <w:t xml:space="preserve">“‘Le principe général du droit relatif au respect des droits de la défense et les articles 6 de la Convention européenne des droits de l'homme et 14 du Pacte international relatif aux droits civils et politiques, sont, en règle, applicables en matière disciplinaire, même lorsque le </w:t>
      </w:r>
      <w:r w:rsidRPr="008B1DD9">
        <w:rPr>
          <w:rFonts w:ascii="Calibri" w:hAnsi="Calibri" w:cs="Calibri"/>
          <w:bCs/>
          <w:sz w:val="22"/>
          <w:szCs w:val="22"/>
          <w:lang w:val="fr-FR"/>
        </w:rPr>
        <w:lastRenderedPageBreak/>
        <w:t>professionnel est soumis un devoir de loyauté, de sincérité et de déférence envers les autorités disciplinaires</w:t>
      </w:r>
      <w:r>
        <w:rPr>
          <w:rFonts w:ascii="Calibri" w:hAnsi="Calibri" w:cs="Calibri"/>
          <w:bCs/>
          <w:sz w:val="22"/>
          <w:szCs w:val="22"/>
          <w:lang w:val="fr-FR"/>
        </w:rPr>
        <w:t> »</w:t>
      </w:r>
      <w:r>
        <w:rPr>
          <w:rStyle w:val="Voetnootmarkering"/>
          <w:rFonts w:ascii="Calibri" w:hAnsi="Calibri" w:cs="Calibri"/>
          <w:bCs/>
          <w:sz w:val="22"/>
          <w:szCs w:val="22"/>
          <w:lang w:val="fr-FR"/>
        </w:rPr>
        <w:footnoteReference w:id="5"/>
      </w:r>
    </w:p>
    <w:p w14:paraId="43BE69CC" w14:textId="517DE60D" w:rsidR="008B1DD9" w:rsidRPr="008B1DD9" w:rsidRDefault="00355E1A" w:rsidP="001E7422">
      <w:pPr>
        <w:pStyle w:val="ProcedureTekst"/>
        <w:jc w:val="both"/>
        <w:rPr>
          <w:rFonts w:ascii="Calibri" w:hAnsi="Calibri" w:cs="Calibri"/>
          <w:bCs/>
          <w:sz w:val="22"/>
          <w:szCs w:val="22"/>
          <w:lang w:val="fr-FR"/>
        </w:rPr>
      </w:pPr>
      <w:r>
        <w:rPr>
          <w:rFonts w:ascii="Calibri" w:hAnsi="Calibri" w:cs="Calibri"/>
          <w:bCs/>
          <w:sz w:val="22"/>
          <w:szCs w:val="22"/>
          <w:lang w:val="fr-FR"/>
        </w:rPr>
        <w:t xml:space="preserve"> </w:t>
      </w:r>
    </w:p>
    <w:p w14:paraId="66707D9B" w14:textId="2D1A4EE7" w:rsidR="008B1DD9" w:rsidRDefault="008B1DD9" w:rsidP="001E7422">
      <w:pPr>
        <w:pStyle w:val="ProcedureTekst"/>
        <w:jc w:val="both"/>
        <w:rPr>
          <w:rFonts w:ascii="Calibri" w:hAnsi="Calibri" w:cs="Calibri"/>
          <w:bCs/>
          <w:sz w:val="22"/>
          <w:szCs w:val="22"/>
        </w:rPr>
      </w:pPr>
      <w:r>
        <w:rPr>
          <w:rFonts w:ascii="Calibri" w:hAnsi="Calibri" w:cs="Calibri"/>
          <w:bCs/>
          <w:sz w:val="22"/>
          <w:szCs w:val="22"/>
        </w:rPr>
        <w:t>Vrij vertaald:</w:t>
      </w:r>
    </w:p>
    <w:p w14:paraId="0C1916A1" w14:textId="77777777" w:rsidR="008B1DD9" w:rsidRDefault="008B1DD9" w:rsidP="001E7422">
      <w:pPr>
        <w:pStyle w:val="ProcedureTekst"/>
        <w:jc w:val="both"/>
        <w:rPr>
          <w:rFonts w:ascii="Calibri" w:hAnsi="Calibri" w:cs="Calibri"/>
          <w:bCs/>
          <w:sz w:val="22"/>
          <w:szCs w:val="22"/>
        </w:rPr>
      </w:pPr>
    </w:p>
    <w:p w14:paraId="05B67946" w14:textId="7F38F2F2" w:rsidR="008B1DD9" w:rsidRPr="008B1DD9" w:rsidRDefault="008B1DD9" w:rsidP="008B1DD9">
      <w:pPr>
        <w:pStyle w:val="ProcedureTekst"/>
        <w:ind w:left="567"/>
        <w:jc w:val="both"/>
        <w:rPr>
          <w:rFonts w:ascii="Calibri" w:hAnsi="Calibri" w:cs="Calibri"/>
          <w:bCs/>
          <w:i/>
          <w:iCs/>
          <w:sz w:val="22"/>
          <w:szCs w:val="22"/>
        </w:rPr>
      </w:pPr>
      <w:r>
        <w:rPr>
          <w:rFonts w:ascii="Calibri" w:hAnsi="Calibri" w:cs="Calibri"/>
          <w:bCs/>
          <w:sz w:val="22"/>
          <w:szCs w:val="22"/>
        </w:rPr>
        <w:tab/>
      </w:r>
      <w:r w:rsidRPr="008B1DD9">
        <w:rPr>
          <w:rFonts w:ascii="Calibri" w:hAnsi="Calibri" w:cs="Calibri"/>
          <w:bCs/>
          <w:i/>
          <w:iCs/>
          <w:sz w:val="22"/>
          <w:szCs w:val="22"/>
        </w:rPr>
        <w:t>“Het algemene rechtsbeginsel met betrekking tot de eerbiediging van de rechten van de verdediging en de artikelen 6 van het Europees Verdrag voor de Rechten van de Mens en 14 van het Internationaal Verdrag inzake burgerrechten en politieke rechten zijn in de regel van toepassing in tuchtzaken, zelfs wanneer de beroepsbeoefenaar is onderworpen aan een plicht van loyaliteit, oprechtheid en respect jegens de disciplinaire autoriteiten.”</w:t>
      </w:r>
    </w:p>
    <w:p w14:paraId="53D48614" w14:textId="77777777" w:rsidR="001D6DEE" w:rsidRDefault="001D6DEE" w:rsidP="001E7422">
      <w:pPr>
        <w:pStyle w:val="ProcedureTekst"/>
        <w:jc w:val="both"/>
        <w:rPr>
          <w:rFonts w:ascii="Calibri" w:hAnsi="Calibri" w:cs="Calibri"/>
          <w:bCs/>
          <w:sz w:val="22"/>
          <w:szCs w:val="22"/>
        </w:rPr>
      </w:pPr>
    </w:p>
    <w:p w14:paraId="26D49043" w14:textId="77777777" w:rsidR="00997875" w:rsidRDefault="00997875" w:rsidP="00997875">
      <w:pPr>
        <w:pStyle w:val="ProcedureTekst"/>
        <w:jc w:val="both"/>
        <w:rPr>
          <w:rFonts w:ascii="Calibri" w:hAnsi="Calibri" w:cs="Calibri"/>
          <w:bCs/>
          <w:sz w:val="22"/>
          <w:szCs w:val="22"/>
        </w:rPr>
      </w:pPr>
    </w:p>
    <w:p w14:paraId="327785A3" w14:textId="2E4E7E81" w:rsidR="00997875" w:rsidRDefault="00997875" w:rsidP="00997875">
      <w:pPr>
        <w:pStyle w:val="ProcedureTekst"/>
        <w:jc w:val="both"/>
        <w:rPr>
          <w:rFonts w:ascii="Calibri" w:hAnsi="Calibri" w:cs="Calibri"/>
          <w:bCs/>
          <w:sz w:val="22"/>
          <w:szCs w:val="22"/>
        </w:rPr>
      </w:pPr>
      <w:r>
        <w:rPr>
          <w:rFonts w:ascii="Calibri" w:hAnsi="Calibri" w:cs="Calibri"/>
          <w:bCs/>
          <w:sz w:val="22"/>
          <w:szCs w:val="22"/>
        </w:rPr>
        <w:t>Het verbod om gedwongen te worden zichzelf te incrimineren geldt ten volle in onderhavige tuchtrechtelijke procedure, waardoor geen negatieve implicaties verbonden mogen worden aan het niet overhandigen van de verzochte lijst.</w:t>
      </w:r>
    </w:p>
    <w:p w14:paraId="0C733927" w14:textId="77777777" w:rsidR="00997875" w:rsidRDefault="00997875" w:rsidP="00997875">
      <w:pPr>
        <w:pStyle w:val="ProcedureTekst"/>
        <w:jc w:val="both"/>
        <w:rPr>
          <w:rFonts w:ascii="Calibri" w:hAnsi="Calibri" w:cs="Calibri"/>
          <w:bCs/>
          <w:sz w:val="22"/>
          <w:szCs w:val="22"/>
        </w:rPr>
      </w:pPr>
    </w:p>
    <w:p w14:paraId="5C3F2263" w14:textId="43AF2DA9" w:rsidR="0098090F" w:rsidRPr="001D55D9" w:rsidRDefault="00997875" w:rsidP="00997875">
      <w:pPr>
        <w:pStyle w:val="ProcedureTekst"/>
        <w:jc w:val="both"/>
        <w:rPr>
          <w:rFonts w:ascii="Calibri" w:hAnsi="Calibri" w:cs="Calibri"/>
          <w:b/>
          <w:sz w:val="22"/>
          <w:szCs w:val="22"/>
          <w:u w:val="single"/>
        </w:rPr>
      </w:pPr>
      <w:r>
        <w:rPr>
          <w:rFonts w:ascii="Calibri" w:hAnsi="Calibri" w:cs="Calibri"/>
          <w:bCs/>
          <w:sz w:val="22"/>
          <w:szCs w:val="22"/>
        </w:rPr>
        <w:t xml:space="preserve">Er kan dus geenszins van concluant verwacht worden dat hij overgaat tot het opstellen van de bewuste lijst. Evenmin mag het niet opmaken van deze lijst leiden tot een nieuwe tuchtsanctie, dan wel een verzwaring ervan. </w:t>
      </w:r>
    </w:p>
    <w:p w14:paraId="7F947B18" w14:textId="77777777" w:rsidR="0098090F" w:rsidRPr="001D55D9" w:rsidRDefault="0098090F" w:rsidP="0098090F">
      <w:pPr>
        <w:pStyle w:val="ProcedureTekst"/>
        <w:ind w:left="1996"/>
        <w:rPr>
          <w:rFonts w:ascii="Calibri" w:hAnsi="Calibri" w:cs="Calibri"/>
          <w:sz w:val="22"/>
          <w:szCs w:val="22"/>
        </w:rPr>
      </w:pPr>
    </w:p>
    <w:p w14:paraId="1ED8FCE7" w14:textId="056ADDB3" w:rsidR="0098090F" w:rsidRDefault="0098090F" w:rsidP="0098090F"/>
    <w:p w14:paraId="63580AFE" w14:textId="77777777" w:rsidR="0098090F" w:rsidRPr="004F32E7" w:rsidRDefault="0098090F" w:rsidP="0098090F">
      <w:pPr>
        <w:rPr>
          <w:rFonts w:cs="Calibri"/>
          <w:b/>
          <w:sz w:val="28"/>
          <w:szCs w:val="28"/>
        </w:rPr>
      </w:pPr>
      <w:r w:rsidRPr="004F32E7">
        <w:rPr>
          <w:rFonts w:cs="Calibri"/>
          <w:b/>
          <w:sz w:val="28"/>
          <w:szCs w:val="28"/>
        </w:rPr>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0599DEDF" w14:textId="77777777" w:rsidR="0098090F" w:rsidRDefault="0098090F" w:rsidP="0098090F">
      <w:pPr>
        <w:rPr>
          <w:rFonts w:cs="Calibri"/>
          <w:sz w:val="24"/>
          <w:szCs w:val="24"/>
        </w:rPr>
      </w:pPr>
    </w:p>
    <w:p w14:paraId="7323CB6D" w14:textId="77777777" w:rsidR="0098090F" w:rsidRDefault="0098090F"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12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lastRenderedPageBreak/>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21FA" w14:textId="77777777" w:rsidR="00637338" w:rsidRDefault="00637338" w:rsidP="00771AF6">
      <w:pPr>
        <w:spacing w:after="0" w:line="240" w:lineRule="auto"/>
      </w:pPr>
      <w:r>
        <w:separator/>
      </w:r>
    </w:p>
  </w:endnote>
  <w:endnote w:type="continuationSeparator" w:id="0">
    <w:p w14:paraId="3642D471" w14:textId="77777777" w:rsidR="00637338" w:rsidRDefault="00637338"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56B4" w14:textId="77777777" w:rsidR="00637338" w:rsidRDefault="00637338" w:rsidP="00771AF6">
      <w:pPr>
        <w:spacing w:after="0" w:line="240" w:lineRule="auto"/>
      </w:pPr>
      <w:r>
        <w:separator/>
      </w:r>
    </w:p>
  </w:footnote>
  <w:footnote w:type="continuationSeparator" w:id="0">
    <w:p w14:paraId="11217EFA" w14:textId="77777777" w:rsidR="00637338" w:rsidRDefault="00637338" w:rsidP="00771AF6">
      <w:pPr>
        <w:spacing w:after="0" w:line="240" w:lineRule="auto"/>
      </w:pPr>
      <w:r>
        <w:continuationSeparator/>
      </w:r>
    </w:p>
  </w:footnote>
  <w:footnote w:id="1">
    <w:p w14:paraId="6D86C59D" w14:textId="365D4AC1" w:rsidR="0090174F" w:rsidRPr="0090174F" w:rsidRDefault="0090174F">
      <w:pPr>
        <w:pStyle w:val="Voetnoottekst"/>
        <w:rPr>
          <w:lang w:val="de-DE"/>
        </w:rPr>
      </w:pPr>
      <w:r>
        <w:rPr>
          <w:rStyle w:val="Voetnootmarkering"/>
        </w:rPr>
        <w:footnoteRef/>
      </w:r>
      <w:r w:rsidRPr="0090174F">
        <w:rPr>
          <w:lang w:val="de-DE"/>
        </w:rPr>
        <w:t xml:space="preserve"> EHRM 3 </w:t>
      </w:r>
      <w:proofErr w:type="spellStart"/>
      <w:r w:rsidRPr="0090174F">
        <w:rPr>
          <w:lang w:val="de-DE"/>
        </w:rPr>
        <w:t>mei</w:t>
      </w:r>
      <w:proofErr w:type="spellEnd"/>
      <w:r w:rsidRPr="0090174F">
        <w:rPr>
          <w:lang w:val="de-DE"/>
        </w:rPr>
        <w:t xml:space="preserve"> 2001, J.B. t.</w:t>
      </w:r>
      <w:r>
        <w:rPr>
          <w:lang w:val="de-DE"/>
        </w:rPr>
        <w:t xml:space="preserve"> </w:t>
      </w:r>
      <w:proofErr w:type="spellStart"/>
      <w:r>
        <w:rPr>
          <w:lang w:val="de-DE"/>
        </w:rPr>
        <w:t>Zwitserland</w:t>
      </w:r>
      <w:proofErr w:type="spellEnd"/>
      <w:r>
        <w:rPr>
          <w:lang w:val="de-DE"/>
        </w:rPr>
        <w:t xml:space="preserve">, </w:t>
      </w:r>
      <w:proofErr w:type="spellStart"/>
      <w:r>
        <w:rPr>
          <w:lang w:val="de-DE"/>
        </w:rPr>
        <w:t>nr.</w:t>
      </w:r>
      <w:proofErr w:type="spellEnd"/>
      <w:r>
        <w:rPr>
          <w:lang w:val="de-DE"/>
        </w:rPr>
        <w:t xml:space="preserve"> 31827/96.</w:t>
      </w:r>
    </w:p>
  </w:footnote>
  <w:footnote w:id="2">
    <w:p w14:paraId="16CE00F1" w14:textId="52F082A3" w:rsidR="00FD0A60" w:rsidRPr="00FD0A60" w:rsidRDefault="00FD0A60">
      <w:pPr>
        <w:pStyle w:val="Voetnoottekst"/>
      </w:pPr>
      <w:r>
        <w:rPr>
          <w:rStyle w:val="Voetnootmarkering"/>
        </w:rPr>
        <w:footnoteRef/>
      </w:r>
      <w:r w:rsidRPr="00FD0A60">
        <w:t xml:space="preserve"> J. MEESE, </w:t>
      </w:r>
      <w:r w:rsidRPr="00FD0A60">
        <w:rPr>
          <w:i/>
          <w:iCs/>
        </w:rPr>
        <w:t>“U hebt h</w:t>
      </w:r>
      <w:r>
        <w:rPr>
          <w:i/>
          <w:iCs/>
        </w:rPr>
        <w:t xml:space="preserve">et recht om te zwijgen… maar als u uw zwijgrecht gebruikt, riskeert u daarvoor wel tot vijf jaar gevangenisstraf”, </w:t>
      </w:r>
      <w:r w:rsidRPr="00FD0A60">
        <w:rPr>
          <w:i/>
          <w:iCs/>
        </w:rPr>
        <w:t>https://joachimmeese.be/criminis/zwijgrecht-versus-verplichting-tot-ontgrendelen-gsm/</w:t>
      </w:r>
      <w:r>
        <w:rPr>
          <w:i/>
          <w:iCs/>
        </w:rPr>
        <w:t>.</w:t>
      </w:r>
    </w:p>
  </w:footnote>
  <w:footnote w:id="3">
    <w:p w14:paraId="00AB3ECD" w14:textId="0E0BD210" w:rsidR="000E5002" w:rsidRPr="00FD0A60" w:rsidRDefault="000E5002">
      <w:pPr>
        <w:pStyle w:val="Voetnoottekst"/>
        <w:rPr>
          <w:lang w:val="en-US"/>
        </w:rPr>
      </w:pPr>
      <w:r>
        <w:rPr>
          <w:rStyle w:val="Voetnootmarkering"/>
        </w:rPr>
        <w:footnoteRef/>
      </w:r>
      <w:r w:rsidRPr="00FD0A60">
        <w:rPr>
          <w:lang w:val="en-US"/>
        </w:rPr>
        <w:t xml:space="preserve"> Cass. 13 </w:t>
      </w:r>
      <w:proofErr w:type="spellStart"/>
      <w:r w:rsidRPr="00FD0A60">
        <w:rPr>
          <w:lang w:val="en-US"/>
        </w:rPr>
        <w:t>mei</w:t>
      </w:r>
      <w:proofErr w:type="spellEnd"/>
      <w:r w:rsidRPr="00FD0A60">
        <w:rPr>
          <w:lang w:val="en-US"/>
        </w:rPr>
        <w:t xml:space="preserve"> 1986, </w:t>
      </w:r>
      <w:r w:rsidRPr="00FD0A60">
        <w:rPr>
          <w:i/>
          <w:iCs/>
          <w:lang w:val="en-US"/>
        </w:rPr>
        <w:t xml:space="preserve">Arr.Cass. </w:t>
      </w:r>
      <w:r w:rsidRPr="00FD0A60">
        <w:rPr>
          <w:lang w:val="en-US"/>
        </w:rPr>
        <w:t>1986, 1231-1232.</w:t>
      </w:r>
    </w:p>
  </w:footnote>
  <w:footnote w:id="4">
    <w:p w14:paraId="767EDF4D" w14:textId="7AA55842" w:rsidR="001D6DEE" w:rsidRPr="00FD0A60" w:rsidRDefault="001D6DEE">
      <w:pPr>
        <w:pStyle w:val="Voetnoottekst"/>
        <w:rPr>
          <w:lang w:val="en-US"/>
        </w:rPr>
      </w:pPr>
      <w:r>
        <w:rPr>
          <w:rStyle w:val="Voetnootmarkering"/>
        </w:rPr>
        <w:footnoteRef/>
      </w:r>
      <w:r w:rsidRPr="00FD0A60">
        <w:rPr>
          <w:lang w:val="en-US"/>
        </w:rPr>
        <w:t xml:space="preserve"> </w:t>
      </w:r>
      <w:proofErr w:type="spellStart"/>
      <w:r w:rsidRPr="00FD0A60">
        <w:rPr>
          <w:lang w:val="en-US"/>
        </w:rPr>
        <w:t>GwH</w:t>
      </w:r>
      <w:proofErr w:type="spellEnd"/>
      <w:r w:rsidRPr="00FD0A60">
        <w:rPr>
          <w:lang w:val="en-US"/>
        </w:rPr>
        <w:t xml:space="preserve"> 25 </w:t>
      </w:r>
      <w:proofErr w:type="spellStart"/>
      <w:r w:rsidRPr="00FD0A60">
        <w:rPr>
          <w:lang w:val="en-US"/>
        </w:rPr>
        <w:t>januari</w:t>
      </w:r>
      <w:proofErr w:type="spellEnd"/>
      <w:r w:rsidRPr="00FD0A60">
        <w:rPr>
          <w:lang w:val="en-US"/>
        </w:rPr>
        <w:t xml:space="preserve"> 2001, nr. 4/20</w:t>
      </w:r>
      <w:r w:rsidR="008B1DD9" w:rsidRPr="00FD0A60">
        <w:rPr>
          <w:lang w:val="en-US"/>
        </w:rPr>
        <w:t>0</w:t>
      </w:r>
      <w:r w:rsidRPr="00FD0A60">
        <w:rPr>
          <w:lang w:val="en-US"/>
        </w:rPr>
        <w:t>1.</w:t>
      </w:r>
    </w:p>
  </w:footnote>
  <w:footnote w:id="5">
    <w:p w14:paraId="488045DE" w14:textId="2E8D4C05" w:rsidR="008B1DD9" w:rsidRPr="00FD0A60" w:rsidRDefault="008B1DD9">
      <w:pPr>
        <w:pStyle w:val="Voetnoottekst"/>
        <w:rPr>
          <w:lang w:val="en-US"/>
        </w:rPr>
      </w:pPr>
      <w:r>
        <w:rPr>
          <w:rStyle w:val="Voetnootmarkering"/>
        </w:rPr>
        <w:footnoteRef/>
      </w:r>
      <w:r w:rsidRPr="00FD0A60">
        <w:rPr>
          <w:lang w:val="en-US"/>
        </w:rPr>
        <w:t xml:space="preserve"> Cass 25 </w:t>
      </w:r>
      <w:proofErr w:type="spellStart"/>
      <w:r w:rsidRPr="00FD0A60">
        <w:rPr>
          <w:lang w:val="en-US"/>
        </w:rPr>
        <w:t>november</w:t>
      </w:r>
      <w:proofErr w:type="spellEnd"/>
      <w:r w:rsidRPr="00FD0A60">
        <w:rPr>
          <w:lang w:val="en-US"/>
        </w:rPr>
        <w:t xml:space="preserve"> 2011, D.11.0016.F.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1"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E5002"/>
    <w:rsid w:val="000F7B5E"/>
    <w:rsid w:val="0011059E"/>
    <w:rsid w:val="001B439E"/>
    <w:rsid w:val="001D6DEE"/>
    <w:rsid w:val="001E7422"/>
    <w:rsid w:val="00227634"/>
    <w:rsid w:val="0029632B"/>
    <w:rsid w:val="00355E1A"/>
    <w:rsid w:val="005A0715"/>
    <w:rsid w:val="005C7CC8"/>
    <w:rsid w:val="00606595"/>
    <w:rsid w:val="00637338"/>
    <w:rsid w:val="007566F8"/>
    <w:rsid w:val="00771AF6"/>
    <w:rsid w:val="007D4E43"/>
    <w:rsid w:val="0081618D"/>
    <w:rsid w:val="008B1DD9"/>
    <w:rsid w:val="008B66F8"/>
    <w:rsid w:val="008C128A"/>
    <w:rsid w:val="0090174F"/>
    <w:rsid w:val="0098090F"/>
    <w:rsid w:val="00997875"/>
    <w:rsid w:val="00A02FD7"/>
    <w:rsid w:val="00AF4D2D"/>
    <w:rsid w:val="00B07245"/>
    <w:rsid w:val="00CE0A20"/>
    <w:rsid w:val="00D5104E"/>
    <w:rsid w:val="00E012D7"/>
    <w:rsid w:val="00E732B7"/>
    <w:rsid w:val="00F04EBD"/>
    <w:rsid w:val="00F14900"/>
    <w:rsid w:val="00F74DB9"/>
    <w:rsid w:val="00FD0A60"/>
    <w:rsid w:val="00FE1E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paragraph" w:styleId="Voetnoottekst">
    <w:name w:val="footnote text"/>
    <w:basedOn w:val="Standaard"/>
    <w:link w:val="VoetnoottekstChar"/>
    <w:uiPriority w:val="99"/>
    <w:semiHidden/>
    <w:unhideWhenUsed/>
    <w:rsid w:val="009017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174F"/>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901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6462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2024-02-16T13:35:00Z</dcterms:created>
  <dcterms:modified xsi:type="dcterms:W3CDTF">2024-02-16T13:35:00Z</dcterms:modified>
</cp:coreProperties>
</file>